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7F" w:rsidRDefault="00EB697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B697F" w:rsidRDefault="00EB697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B69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697F" w:rsidRDefault="00EB697F">
            <w:pPr>
              <w:pStyle w:val="ConsPlusNormal"/>
            </w:pPr>
            <w:r>
              <w:t>17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697F" w:rsidRDefault="00EB697F">
            <w:pPr>
              <w:pStyle w:val="ConsPlusNormal"/>
              <w:jc w:val="right"/>
            </w:pPr>
            <w:r>
              <w:t>N 94</w:t>
            </w:r>
          </w:p>
        </w:tc>
      </w:tr>
    </w:tbl>
    <w:p w:rsidR="00EB697F" w:rsidRDefault="00EB69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Title"/>
        <w:jc w:val="center"/>
      </w:pPr>
      <w:r>
        <w:t>РЕСПУБЛИКА ДАГЕСТАН</w:t>
      </w:r>
    </w:p>
    <w:p w:rsidR="00EB697F" w:rsidRDefault="00EB697F">
      <w:pPr>
        <w:pStyle w:val="ConsPlusTitle"/>
        <w:jc w:val="center"/>
      </w:pPr>
    </w:p>
    <w:p w:rsidR="00EB697F" w:rsidRDefault="00EB697F">
      <w:pPr>
        <w:pStyle w:val="ConsPlusTitle"/>
        <w:jc w:val="center"/>
      </w:pPr>
      <w:r>
        <w:t>ЗАКОН</w:t>
      </w:r>
    </w:p>
    <w:p w:rsidR="00EB697F" w:rsidRDefault="00EB697F">
      <w:pPr>
        <w:pStyle w:val="ConsPlusTitle"/>
        <w:jc w:val="center"/>
      </w:pPr>
    </w:p>
    <w:p w:rsidR="00EB697F" w:rsidRDefault="00EB697F">
      <w:pPr>
        <w:pStyle w:val="ConsPlusTitle"/>
        <w:jc w:val="center"/>
      </w:pPr>
      <w:r>
        <w:t>ОБ УСТАНОВЛЕНИИ КРИТЕРИЕВ, КОТОРЫМ ДОЛЖНЫ СООТВЕТСТВОВАТЬ</w:t>
      </w:r>
    </w:p>
    <w:p w:rsidR="00EB697F" w:rsidRDefault="00EB697F">
      <w:pPr>
        <w:pStyle w:val="ConsPlusTitle"/>
        <w:jc w:val="center"/>
      </w:pPr>
      <w:r>
        <w:t>ОБЪЕКТЫ СОЦИАЛЬНО-КУЛЬТУРНОГО И КОММУНАЛЬНО-БЫТОВОГО</w:t>
      </w:r>
    </w:p>
    <w:p w:rsidR="00EB697F" w:rsidRDefault="00EB697F">
      <w:pPr>
        <w:pStyle w:val="ConsPlusTitle"/>
        <w:jc w:val="center"/>
      </w:pPr>
      <w:r>
        <w:t>НАЗНАЧЕНИЯ, МАСШТАБНЫЕ ИНВЕСТИЦИОННЫЕ ПРОЕКТЫ,</w:t>
      </w:r>
    </w:p>
    <w:p w:rsidR="00EB697F" w:rsidRDefault="00EB697F">
      <w:pPr>
        <w:pStyle w:val="ConsPlusTitle"/>
        <w:jc w:val="center"/>
      </w:pPr>
      <w:r>
        <w:t>ДЛЯ РАЗМЕЩЕНИЯ (РЕАЛИЗАЦИИ) КОТОРЫХ ЗЕМЕЛЬНЫЕ</w:t>
      </w:r>
    </w:p>
    <w:p w:rsidR="00EB697F" w:rsidRDefault="00EB697F">
      <w:pPr>
        <w:pStyle w:val="ConsPlusTitle"/>
        <w:jc w:val="center"/>
      </w:pPr>
      <w:r>
        <w:t>УЧАСТКИ ПРЕДОСТАВЛЯЮТСЯ В АРЕНДУ ЮРИДИЧЕСКИМ</w:t>
      </w:r>
    </w:p>
    <w:p w:rsidR="00EB697F" w:rsidRDefault="00EB697F">
      <w:pPr>
        <w:pStyle w:val="ConsPlusTitle"/>
        <w:jc w:val="center"/>
      </w:pPr>
      <w:r>
        <w:t>ЛИЦАМ БЕЗ ПРОВЕДЕНИЯ ТОРГОВ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Normal"/>
        <w:jc w:val="right"/>
      </w:pPr>
      <w:r>
        <w:t>Принят Народным Собранием</w:t>
      </w:r>
    </w:p>
    <w:p w:rsidR="00EB697F" w:rsidRDefault="00EB697F">
      <w:pPr>
        <w:pStyle w:val="ConsPlusNormal"/>
        <w:jc w:val="right"/>
      </w:pPr>
      <w:r>
        <w:t>Республики Дагестан</w:t>
      </w:r>
    </w:p>
    <w:p w:rsidR="00EB697F" w:rsidRDefault="00EB697F">
      <w:pPr>
        <w:pStyle w:val="ConsPlusNormal"/>
        <w:jc w:val="right"/>
      </w:pPr>
      <w:r>
        <w:t>29 октября 2015 года</w:t>
      </w:r>
    </w:p>
    <w:p w:rsidR="00EB697F" w:rsidRDefault="00EB69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69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97F" w:rsidRDefault="00EB69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97F" w:rsidRDefault="00EB69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697F" w:rsidRDefault="00EB69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697F" w:rsidRDefault="00EB697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Дагестан</w:t>
            </w:r>
          </w:p>
          <w:p w:rsidR="00EB697F" w:rsidRDefault="00EB6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17.12.2018 </w:t>
            </w:r>
            <w:hyperlink r:id="rId5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08.12.2020 </w:t>
            </w:r>
            <w:hyperlink r:id="rId6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EB697F" w:rsidRDefault="00EB6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7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06.10.2023 </w:t>
            </w:r>
            <w:hyperlink r:id="rId8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EB697F" w:rsidRDefault="00EB6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28.12.2023 </w:t>
            </w:r>
            <w:hyperlink r:id="rId9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 xml:space="preserve">, от 05.04.2024 </w:t>
            </w:r>
            <w:hyperlink r:id="rId10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,</w:t>
            </w:r>
          </w:p>
          <w:p w:rsidR="00EB697F" w:rsidRDefault="00EB697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</w:t>
            </w:r>
          </w:p>
          <w:p w:rsidR="00EB697F" w:rsidRDefault="00EB697F">
            <w:pPr>
              <w:pStyle w:val="ConsPlusNormal"/>
              <w:jc w:val="center"/>
            </w:pPr>
            <w:r>
              <w:rPr>
                <w:color w:val="392C69"/>
              </w:rPr>
              <w:t>Республики Дагестан от 20.04.2022 N а-60/2022)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97F" w:rsidRDefault="00EB697F">
            <w:pPr>
              <w:pStyle w:val="ConsPlusNormal"/>
            </w:pPr>
          </w:p>
        </w:tc>
      </w:tr>
    </w:tbl>
    <w:p w:rsidR="00EB697F" w:rsidRDefault="00EB697F">
      <w:pPr>
        <w:pStyle w:val="ConsPlusNormal"/>
        <w:jc w:val="both"/>
      </w:pPr>
    </w:p>
    <w:p w:rsidR="00EB697F" w:rsidRDefault="00EB697F">
      <w:pPr>
        <w:pStyle w:val="ConsPlusTitle"/>
        <w:ind w:firstLine="540"/>
        <w:jc w:val="both"/>
        <w:outlineLvl w:val="0"/>
      </w:pPr>
      <w:r>
        <w:t>Статья 1. Предмет регулирования</w:t>
      </w:r>
    </w:p>
    <w:p w:rsidR="00EB697F" w:rsidRDefault="00EB697F">
      <w:pPr>
        <w:pStyle w:val="ConsPlusNormal"/>
        <w:ind w:firstLine="540"/>
        <w:jc w:val="both"/>
      </w:pPr>
    </w:p>
    <w:p w:rsidR="00EB697F" w:rsidRDefault="00EB697F">
      <w:pPr>
        <w:pStyle w:val="ConsPlusNormal"/>
        <w:ind w:firstLine="540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Республики Дагестан от 30.12.2022 N 105)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Normal"/>
        <w:ind w:firstLine="540"/>
        <w:jc w:val="both"/>
      </w:pPr>
      <w:r>
        <w:t xml:space="preserve">Настоящий Закон устанавливает критерии,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на территории Республики Дагестан допускается предоставление земельных участков в соответствии с </w:t>
      </w:r>
      <w:hyperlink r:id="rId13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Федерации.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Title"/>
        <w:ind w:firstLine="540"/>
        <w:jc w:val="both"/>
        <w:outlineLvl w:val="0"/>
      </w:pPr>
      <w:r>
        <w:t>Статья 2. Критерии, которым должны соответствовать объекты социально-культурного и коммунально-бытового назначения</w:t>
      </w:r>
    </w:p>
    <w:p w:rsidR="00EB697F" w:rsidRDefault="00EB697F">
      <w:pPr>
        <w:pStyle w:val="ConsPlusNormal"/>
        <w:ind w:firstLine="540"/>
        <w:jc w:val="both"/>
      </w:pPr>
    </w:p>
    <w:p w:rsidR="00EB697F" w:rsidRDefault="00EB697F">
      <w:pPr>
        <w:pStyle w:val="ConsPlusNormal"/>
        <w:ind w:firstLine="540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Республики Дагестан от 17.12.2018 N 90)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Normal"/>
        <w:ind w:firstLine="540"/>
        <w:jc w:val="both"/>
      </w:pPr>
      <w:r>
        <w:t xml:space="preserve">Предоставление земельных участков в соответствии с </w:t>
      </w:r>
      <w:hyperlink r:id="rId15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 для размещения объектов социально-культурного и коммунально-бытового назначения допускается в случаях, если такие объекты включены в государственные программы Российской Федерации, государственные программы Республики Дагестан, муниципальные программы и у инвестора имеется документальное подтверждение финансирования размещения объекта за счет внебюджетных источников в размере не менее 50 процентов от общего объема средств, необходимых для создания (реконструкции), модернизации объекта.</w:t>
      </w:r>
    </w:p>
    <w:p w:rsidR="00EB697F" w:rsidRDefault="00EB697F">
      <w:pPr>
        <w:pStyle w:val="ConsPlusNormal"/>
        <w:jc w:val="both"/>
      </w:pPr>
      <w:r>
        <w:t xml:space="preserve">(в ред. Законов Республики Дагестан от 30.12.2022 </w:t>
      </w:r>
      <w:hyperlink r:id="rId16">
        <w:r>
          <w:rPr>
            <w:color w:val="0000FF"/>
          </w:rPr>
          <w:t>N 105</w:t>
        </w:r>
      </w:hyperlink>
      <w:r>
        <w:t xml:space="preserve">, от 28.12.2023 </w:t>
      </w:r>
      <w:hyperlink r:id="rId17">
        <w:r>
          <w:rPr>
            <w:color w:val="0000FF"/>
          </w:rPr>
          <w:t>N 110</w:t>
        </w:r>
      </w:hyperlink>
      <w:r>
        <w:t>)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Title"/>
        <w:ind w:firstLine="540"/>
        <w:jc w:val="both"/>
        <w:outlineLvl w:val="0"/>
      </w:pPr>
      <w:r>
        <w:t>Статья 3. Критерии, которым должны соответствовать масштабные инвестиционные проекты</w:t>
      </w:r>
    </w:p>
    <w:p w:rsidR="00EB697F" w:rsidRDefault="00EB697F">
      <w:pPr>
        <w:pStyle w:val="ConsPlusNormal"/>
        <w:ind w:firstLine="540"/>
        <w:jc w:val="both"/>
      </w:pPr>
    </w:p>
    <w:p w:rsidR="00EB697F" w:rsidRDefault="00EB697F">
      <w:pPr>
        <w:pStyle w:val="ConsPlusNormal"/>
        <w:ind w:firstLine="540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Республики Дагестан от 17.12.2018 N 90)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Normal"/>
        <w:ind w:firstLine="540"/>
        <w:jc w:val="both"/>
      </w:pPr>
      <w:r>
        <w:t xml:space="preserve">1. Предоставление земельных участков в соответствии с </w:t>
      </w:r>
      <w:hyperlink r:id="rId19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 для реализации масштабных инвестиционных проектов допускается при наличии документального подтверждения финансового и (или) имущественного обеспечения их реализации в размере не менее 10 процентов собственных средств инвестора от общей стоимости проекта и соответствии критериям, установленным </w:t>
      </w:r>
      <w:hyperlink w:anchor="P46">
        <w:r>
          <w:rPr>
            <w:color w:val="0000FF"/>
          </w:rPr>
          <w:t>частью 1.1</w:t>
        </w:r>
      </w:hyperlink>
      <w:r>
        <w:t xml:space="preserve"> настоящей статьи.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Наличие собственных средств подтверждается копиями решений учредителей (акционеров) о реализации и финансировании инвестиционного проекта, бухгалтерской отчетностью организаций - учредителей инвестора, налоговыми декларациями о доходах физических лиц - учредителей инвестора.</w:t>
      </w:r>
    </w:p>
    <w:p w:rsidR="00EB697F" w:rsidRDefault="00EB697F">
      <w:pPr>
        <w:pStyle w:val="ConsPlusNormal"/>
        <w:jc w:val="both"/>
      </w:pPr>
      <w:r>
        <w:t xml:space="preserve">(часть 1 в ред. </w:t>
      </w:r>
      <w:hyperlink r:id="rId20">
        <w:r>
          <w:rPr>
            <w:color w:val="0000FF"/>
          </w:rPr>
          <w:t>Закона</w:t>
        </w:r>
      </w:hyperlink>
      <w:r>
        <w:t xml:space="preserve"> Республики Дагестан от 28.12.2023 N 110)</w:t>
      </w:r>
    </w:p>
    <w:p w:rsidR="00EB697F" w:rsidRDefault="00EB697F">
      <w:pPr>
        <w:pStyle w:val="ConsPlusNormal"/>
        <w:spacing w:before="220"/>
        <w:ind w:firstLine="540"/>
        <w:jc w:val="both"/>
      </w:pPr>
      <w:bookmarkStart w:id="0" w:name="P46"/>
      <w:bookmarkEnd w:id="0"/>
      <w:r>
        <w:t>1.1. Масштабный инвестиционный проект должен соответствовать следующим критериям: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1) общий объем налоговых платежей, поступающих в консолидированный бюджет Республики Дагестан за весь период реализации инвестиционного проекта, но не более 5 лет, составляет: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1 миллиона рублей для инвестиционных проектов, реализуемых в высокогорной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2 миллионов рублей для инвестиционных проектов, реализуемых в горной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5 миллионов рублей для инвестиционных проектов, реализуемых в предгорной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10 миллионов рублей для инвестиционных проектов, реализуемых в равнинной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2) общий объем инвестиций в рамках инвестиционного проекта составляет: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5 миллионов рублей для инвестиционных проектов, реализуемых в высокогорной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10 миллионов рублей для инвестиционных проектов, реализуемых в горной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30 миллионов рублей для инвестиционных проектов, реализуемых в предгорной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150 миллионов рублей для инвестиционных проектов, реализуемых в равнинной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3) количество дополнительных рабочих мест, созданных в рамках реализации инвестиционного проекта, составляет: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5 единиц для инвестиционных проектов, реализуемых в высокогорной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10 единиц для инвестиционных проектов, реализуемых в горной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не менее 20 единиц для инвестиционных проектов, реализуемых в предгорной зоне;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lastRenderedPageBreak/>
        <w:t>не менее 25 единиц для инвестиционных проектов, реализуемых в равнинной зоне.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Зональная классификация городских округов и муниципальных районов Республики Дагестан устанавливается Правительством Республики Дагестан.</w:t>
      </w:r>
    </w:p>
    <w:p w:rsidR="00EB697F" w:rsidRDefault="00EB697F">
      <w:pPr>
        <w:pStyle w:val="ConsPlusNormal"/>
        <w:jc w:val="both"/>
      </w:pPr>
      <w:r>
        <w:t xml:space="preserve">(часть 1.1 введена </w:t>
      </w:r>
      <w:hyperlink r:id="rId21">
        <w:r>
          <w:rPr>
            <w:color w:val="0000FF"/>
          </w:rPr>
          <w:t>Законом</w:t>
        </w:r>
      </w:hyperlink>
      <w:r>
        <w:t xml:space="preserve"> Республики Дагестан от 28.12.2023 N 110)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2. Реализация масштабного инвестиционного проекта осуществляется в одном из следующих видов деятельности: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1) сельское, лесное хозяйство, охота, рыболовство и рыбоводство;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2) обрабатывающие производства;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3) обеспечение электрической энергией, газом и паром; кондиционирование воздуха;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4) водоснабжение; водоотведение, организация сбора и утилизации отходов, деятельность по ликвидации загрязнений;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5) строительство;</w:t>
      </w:r>
    </w:p>
    <w:p w:rsidR="00EB697F" w:rsidRDefault="00EB697F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Республики Дагестан от 08.12.2020 N 82)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6) торговля оптовая и розничная; ремонт автотранспортных средств и мотоциклов;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7) транспортировка и хранение;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8) деятельность гостиниц и предприятий общественного питания;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9) деятельность в области информации и связи.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 xml:space="preserve">3. Предоставление земельных участков в соответствии с </w:t>
      </w:r>
      <w:hyperlink r:id="rId23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 для реализации масштабных инвестиционных проектов в сфере жилищного строительства допускается при наличии документального подтверждения финансового и (или) имущественного обеспечения их реализации в размере не менее 20 процентов собственных средств инвестора от общей стоимости проекта и при соблюдении одного из следующих условий (по выбору инвестора):</w:t>
      </w:r>
    </w:p>
    <w:p w:rsidR="00EB697F" w:rsidRDefault="00EB697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Республики Дагестан от 05.04.2024 N 28)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1) предполагается строительство многоквартирного дома (многоквартирных домов), жилая площадь которого (которых) составляет не менее 100 тысяч квадратных метров, на одном или нескольких земельных участках, расположенных в границах одного элемента планировочной структуры (квартал, микрорайон) или смежных элементов планировочной структуры (квартал, микрорайон), общей площадью не более 120 тысяч квадратных метров.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В случае если обеспеченность населения предлагаемой к застройке территории дошкольными образовательными организациями, общеобразовательными организациями, поликлиниками, стоянками автомобилей, спортивными объектами менее установленных нормативами градостроительного проектирования расчетных показателей уровня обеспеченности данными объектами и уровня их территориальной доступности, масштабный инвестиционный проект должен предусматривать обязательство инвестора о строительстве соответствующих объектов. Возведение указанных объектов должно производиться одновременно с многоквартирными домами.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При этом допускается размещение нежилых помещений в многоквартирных домах, в том числе встроенных и (или) пристроенных, а также строительство отдельно стоящих нежилых зданий и сооружений;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 xml:space="preserve">2) предполагается строительство многоквартирного дома (многоквартирных домов) с </w:t>
      </w:r>
      <w:r>
        <w:lastRenderedPageBreak/>
        <w:t>передачей жилых помещений, отвечающих санитарным и техническим требованиям, предъявляемым к внутренней отделке жилых помещений согласно федеральному законодательству и законодательству Республики Дагестан, в объеме не менее 5 процентов общей площади жилых помещений в указанном многоквартирном доме (указанных многоквартирных домах) в целях формирования государственного жилищного фонда Республики Дагестан либо муниципального жилищного фонда:</w:t>
      </w:r>
    </w:p>
    <w:p w:rsidR="00EB697F" w:rsidRDefault="00EB697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Республики Дагестан от 05.04.2024 N 28)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в государственную собственность Республики Дагестан - в случае, если в аренду предоставляются земельные участки из земель, находящихся в государственной собственности Республики Дагестан;</w:t>
      </w:r>
    </w:p>
    <w:p w:rsidR="00EB697F" w:rsidRDefault="00EB697F">
      <w:pPr>
        <w:pStyle w:val="ConsPlusNormal"/>
        <w:spacing w:before="220"/>
        <w:ind w:firstLine="540"/>
        <w:jc w:val="both"/>
      </w:pPr>
      <w:r>
        <w:t>в муниципальную собственность - в случае, если в аренду предоставляются земельные участки из земель, находящихся в собственности муниципальных образований Республики Дагестан.</w:t>
      </w:r>
    </w:p>
    <w:p w:rsidR="00EB697F" w:rsidRDefault="00EB697F">
      <w:pPr>
        <w:pStyle w:val="ConsPlusNormal"/>
        <w:jc w:val="both"/>
      </w:pPr>
      <w:r>
        <w:t xml:space="preserve">(часть 3 в ред. </w:t>
      </w:r>
      <w:hyperlink r:id="rId26">
        <w:r>
          <w:rPr>
            <w:color w:val="0000FF"/>
          </w:rPr>
          <w:t>Закона</w:t>
        </w:r>
      </w:hyperlink>
      <w:r>
        <w:t xml:space="preserve"> Республики Дагестан от 06.10.2023 N 78)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Title"/>
        <w:ind w:firstLine="540"/>
        <w:jc w:val="both"/>
        <w:outlineLvl w:val="0"/>
      </w:pPr>
      <w:r>
        <w:t xml:space="preserve">Статья 4. Утратила силу. - </w:t>
      </w:r>
      <w:hyperlink r:id="rId27">
        <w:r>
          <w:rPr>
            <w:color w:val="0000FF"/>
          </w:rPr>
          <w:t>Закон</w:t>
        </w:r>
      </w:hyperlink>
      <w:r>
        <w:t xml:space="preserve"> Республики Дагестан от 30.12.2022 N 105.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Title"/>
        <w:ind w:firstLine="540"/>
        <w:jc w:val="both"/>
        <w:outlineLvl w:val="0"/>
      </w:pPr>
      <w:r>
        <w:t>Статья 5. Порядок рассмотрения обосновывающих документов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Normal"/>
        <w:ind w:firstLine="540"/>
        <w:jc w:val="both"/>
      </w:pPr>
      <w:r>
        <w:t>Порядок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установленным настоящим Законом критериям, устанавливается Правительством Республики Дагестан.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Title"/>
        <w:ind w:firstLine="540"/>
        <w:jc w:val="both"/>
        <w:outlineLvl w:val="0"/>
      </w:pPr>
      <w:r>
        <w:t>Статья 6. Вступление в силу настоящего Закона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Normal"/>
        <w:jc w:val="right"/>
      </w:pPr>
      <w:r>
        <w:t>Глава</w:t>
      </w:r>
    </w:p>
    <w:p w:rsidR="00EB697F" w:rsidRDefault="00EB697F">
      <w:pPr>
        <w:pStyle w:val="ConsPlusNormal"/>
        <w:jc w:val="right"/>
      </w:pPr>
      <w:r>
        <w:t>Республики Дагестан</w:t>
      </w:r>
    </w:p>
    <w:p w:rsidR="00EB697F" w:rsidRDefault="00EB697F">
      <w:pPr>
        <w:pStyle w:val="ConsPlusNormal"/>
        <w:jc w:val="right"/>
      </w:pPr>
      <w:r>
        <w:t>Р.АБДУЛАТИПОВ</w:t>
      </w:r>
    </w:p>
    <w:p w:rsidR="00EB697F" w:rsidRDefault="00EB697F">
      <w:pPr>
        <w:pStyle w:val="ConsPlusNormal"/>
      </w:pPr>
      <w:r>
        <w:t>Махачкала</w:t>
      </w:r>
    </w:p>
    <w:p w:rsidR="00EB697F" w:rsidRDefault="00EB697F">
      <w:pPr>
        <w:pStyle w:val="ConsPlusNormal"/>
        <w:spacing w:before="220"/>
      </w:pPr>
      <w:r>
        <w:t>17 ноября 2015 года</w:t>
      </w:r>
    </w:p>
    <w:p w:rsidR="00EB697F" w:rsidRDefault="00EB697F">
      <w:pPr>
        <w:pStyle w:val="ConsPlusNormal"/>
        <w:spacing w:before="220"/>
      </w:pPr>
      <w:r>
        <w:t>N 94</w:t>
      </w: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Normal"/>
        <w:jc w:val="both"/>
      </w:pPr>
    </w:p>
    <w:p w:rsidR="00EB697F" w:rsidRDefault="00EB69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276" w:rsidRDefault="00A46276">
      <w:bookmarkStart w:id="1" w:name="_GoBack"/>
      <w:bookmarkEnd w:id="1"/>
    </w:p>
    <w:sectPr w:rsidR="00A46276" w:rsidSect="004E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7F"/>
    <w:rsid w:val="002D32C6"/>
    <w:rsid w:val="00A46276"/>
    <w:rsid w:val="00EB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1678-684E-43F8-A62D-32394B5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9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69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69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6921&amp;dst=100008" TargetMode="External"/><Relationship Id="rId13" Type="http://schemas.openxmlformats.org/officeDocument/2006/relationships/hyperlink" Target="https://login.consultant.ru/link/?req=doc&amp;base=LAW&amp;n=471068&amp;dst=470" TargetMode="External"/><Relationship Id="rId18" Type="http://schemas.openxmlformats.org/officeDocument/2006/relationships/hyperlink" Target="https://login.consultant.ru/link/?req=doc&amp;base=RLAW346&amp;n=35266&amp;dst=100013" TargetMode="External"/><Relationship Id="rId26" Type="http://schemas.openxmlformats.org/officeDocument/2006/relationships/hyperlink" Target="https://login.consultant.ru/link/?req=doc&amp;base=RLAW346&amp;n=46921&amp;dst=1000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47673&amp;dst=100014" TargetMode="External"/><Relationship Id="rId7" Type="http://schemas.openxmlformats.org/officeDocument/2006/relationships/hyperlink" Target="https://login.consultant.ru/link/?req=doc&amp;base=RLAW346&amp;n=44654&amp;dst=100008" TargetMode="External"/><Relationship Id="rId12" Type="http://schemas.openxmlformats.org/officeDocument/2006/relationships/hyperlink" Target="https://login.consultant.ru/link/?req=doc&amp;base=RLAW346&amp;n=44654&amp;dst=100009" TargetMode="External"/><Relationship Id="rId17" Type="http://schemas.openxmlformats.org/officeDocument/2006/relationships/hyperlink" Target="https://login.consultant.ru/link/?req=doc&amp;base=RLAW346&amp;n=47673&amp;dst=100009" TargetMode="External"/><Relationship Id="rId25" Type="http://schemas.openxmlformats.org/officeDocument/2006/relationships/hyperlink" Target="https://login.consultant.ru/link/?req=doc&amp;base=RLAW346&amp;n=48430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4654&amp;dst=100012" TargetMode="External"/><Relationship Id="rId20" Type="http://schemas.openxmlformats.org/officeDocument/2006/relationships/hyperlink" Target="https://login.consultant.ru/link/?req=doc&amp;base=RLAW346&amp;n=47673&amp;dst=10001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9324&amp;dst=100008" TargetMode="External"/><Relationship Id="rId11" Type="http://schemas.openxmlformats.org/officeDocument/2006/relationships/hyperlink" Target="https://login.consultant.ru/link/?req=doc&amp;base=RLAW346&amp;n=42687&amp;dst=100100" TargetMode="External"/><Relationship Id="rId24" Type="http://schemas.openxmlformats.org/officeDocument/2006/relationships/hyperlink" Target="https://login.consultant.ru/link/?req=doc&amp;base=RLAW346&amp;n=48430&amp;dst=100009" TargetMode="External"/><Relationship Id="rId5" Type="http://schemas.openxmlformats.org/officeDocument/2006/relationships/hyperlink" Target="https://login.consultant.ru/link/?req=doc&amp;base=RLAW346&amp;n=35266&amp;dst=100008" TargetMode="External"/><Relationship Id="rId15" Type="http://schemas.openxmlformats.org/officeDocument/2006/relationships/hyperlink" Target="https://login.consultant.ru/link/?req=doc&amp;base=LAW&amp;n=471068&amp;dst=470" TargetMode="External"/><Relationship Id="rId23" Type="http://schemas.openxmlformats.org/officeDocument/2006/relationships/hyperlink" Target="https://login.consultant.ru/link/?req=doc&amp;base=LAW&amp;n=471068&amp;dst=47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46&amp;n=48430&amp;dst=100008" TargetMode="External"/><Relationship Id="rId19" Type="http://schemas.openxmlformats.org/officeDocument/2006/relationships/hyperlink" Target="https://login.consultant.ru/link/?req=doc&amp;base=LAW&amp;n=471068&amp;dst=47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7673&amp;dst=100008" TargetMode="External"/><Relationship Id="rId14" Type="http://schemas.openxmlformats.org/officeDocument/2006/relationships/hyperlink" Target="https://login.consultant.ru/link/?req=doc&amp;base=RLAW346&amp;n=35266&amp;dst=100010" TargetMode="External"/><Relationship Id="rId22" Type="http://schemas.openxmlformats.org/officeDocument/2006/relationships/hyperlink" Target="https://login.consultant.ru/link/?req=doc&amp;base=RLAW346&amp;n=39324&amp;dst=100011" TargetMode="External"/><Relationship Id="rId27" Type="http://schemas.openxmlformats.org/officeDocument/2006/relationships/hyperlink" Target="https://login.consultant.ru/link/?req=doc&amp;base=RLAW346&amp;n=44654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1</cp:revision>
  <dcterms:created xsi:type="dcterms:W3CDTF">2024-12-03T11:42:00Z</dcterms:created>
  <dcterms:modified xsi:type="dcterms:W3CDTF">2024-12-03T11:42:00Z</dcterms:modified>
</cp:coreProperties>
</file>