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35" w:rsidRDefault="00FB2F35" w:rsidP="00FB2F3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ПО ЗЕМЕЛЬНЫМ И ИМУЩЕСТВЕННЫМ ОТНОШЕНИЯМ РЕСПУБЛИКИ ДАГЕСТАН </w:t>
      </w: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РЕЕСТРА ГОСУДАРСТВЕННОГО ИМУЩЕСТВА  </w:t>
      </w:r>
      <w:r>
        <w:rPr>
          <w:rFonts w:ascii="Times New Roman" w:hAnsi="Times New Roman"/>
          <w:sz w:val="28"/>
          <w:szCs w:val="28"/>
        </w:rPr>
        <w:br/>
        <w:t> И КОНТРОЛЯ ОФОРМЛЕНИЯ ПРАВ</w:t>
      </w: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10CC1" w:rsidRDefault="00E10CC1" w:rsidP="00E10C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МЕТОДИЧЕСКОЕ ПОСОБИЕ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br/>
        <w:t>по заполнению карт сведений об объектах учета государственного имущества Республики Дагестан</w:t>
      </w:r>
    </w:p>
    <w:p w:rsidR="00E10CC1" w:rsidRDefault="00E10CC1" w:rsidP="00E10C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(Карта № </w:t>
      </w:r>
      <w:r>
        <w:rPr>
          <w:rFonts w:ascii="Times New Roman" w:hAnsi="Times New Roman"/>
          <w:b/>
          <w:sz w:val="32"/>
          <w:szCs w:val="32"/>
        </w:rPr>
        <w:t>2.4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Махачкала 2019 г.</w:t>
      </w:r>
    </w:p>
    <w:p w:rsidR="00E10CC1" w:rsidRDefault="00E10CC1" w:rsidP="00E10CC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CC1" w:rsidRDefault="00E10CC1" w:rsidP="00E10CC1">
      <w:pPr>
        <w:tabs>
          <w:tab w:val="left" w:pos="426"/>
        </w:tabs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</w:t>
      </w:r>
    </w:p>
    <w:p w:rsidR="00E10CC1" w:rsidRDefault="00E10CC1" w:rsidP="00E10CC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2018 году был полностью пересмотрен подход к организации ведения учета реестра государственного имущества Республики Дагестан.</w:t>
      </w:r>
    </w:p>
    <w:p w:rsidR="00E10CC1" w:rsidRDefault="00E10CC1" w:rsidP="00E10CC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Планом мероприятий («дорожной карты») по повышению качества управления государственным имуществом Республики Дагестан (первый этап), утвержденным распоряжением Правительства Республики Дагестан от 20 марта 2018 г. № 47-р, правила ведения реестра государственного имущества Республики Дагестан приведены в соответствие с практикой, сформировавшейся на федеральном уровне.</w:t>
      </w:r>
    </w:p>
    <w:p w:rsidR="00E10CC1" w:rsidRDefault="00E10CC1" w:rsidP="00E10CC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Новый порядок ведения реестра государственного имущества определен постановлением Правительства Республики Дагестан «О совершенствовании учета государственного имущества Республики Дагестан» от 12 июля 2018 г. № 88.</w:t>
      </w:r>
    </w:p>
    <w:p w:rsidR="00E10CC1" w:rsidRDefault="00E10CC1" w:rsidP="00E10CC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Постановлением утверждено Положение об учете государственного имущества Республики Дагестан.</w:t>
      </w:r>
    </w:p>
    <w:p w:rsidR="00E10CC1" w:rsidRDefault="00E10CC1" w:rsidP="00E10CC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Положением об учете государственного имущества Республики Дагестан объектами учета государственного имущества Республики Дагестан (далее - объекты учета) определяется расположенное на территории Российской Федерации или за рубежом следующее государственное имущество Республики Дагестан:</w:t>
      </w:r>
    </w:p>
    <w:p w:rsidR="00E10CC1" w:rsidRDefault="00E10CC1" w:rsidP="00E10CC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помещения в них, объект незавершенного строительства, единый недвижимый комплекс, а также подлежащие государственной регистрации воздушные и морские суда, суда внутреннего плавания, космические объекты либо иное имущество, отнесенное законом к недвижимому имуществу);</w:t>
      </w:r>
    </w:p>
    <w:p w:rsidR="00E10CC1" w:rsidRDefault="00E10CC1" w:rsidP="00E10CC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движимые вещи (документарные ценные бумаги (акции) либо иное не относящееся к недвижимым вещам имущество);</w:t>
      </w:r>
    </w:p>
    <w:p w:rsidR="00E10CC1" w:rsidRDefault="00E10CC1" w:rsidP="00E10CC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иное имущество, в том числе бездокументарные ценные бумаги, не относящееся к недвижимым и движимым вещам.</w:t>
      </w:r>
    </w:p>
    <w:p w:rsidR="00E10CC1" w:rsidRDefault="00E10CC1" w:rsidP="00E10CC1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>Реестр включает 3 раздела: о недвижимом имуществе; о движимом и ином имуществе; о лицах, обладающих правами на государственное имущество Республики Дагестан и сведениями о нем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E10CC1" w:rsidRDefault="00E10CC1" w:rsidP="00FB2F3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0CC1" w:rsidRDefault="00E10CC1" w:rsidP="00FB2F3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0CC1" w:rsidRDefault="00E10CC1" w:rsidP="00FB2F3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FB2F35" w:rsidRPr="00FF4CBF" w:rsidRDefault="00FB2F35" w:rsidP="00FB2F35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об акциях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FB2F35" w:rsidRPr="00FF4CBF" w:rsidRDefault="00FB2F35" w:rsidP="00FB2F3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FB2F35" w:rsidRPr="00FF4CBF" w:rsidRDefault="00FB2F35" w:rsidP="00FB2F35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АКЦИИ,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НАХОДЯЩИЕСЯ В СОБСТВЕННОСТИ РЕСПУБЛИКИ ДАГЕСТАН</w:t>
      </w:r>
    </w:p>
    <w:p w:rsidR="00FB2F35" w:rsidRPr="00FF4CBF" w:rsidRDefault="00FB2F35" w:rsidP="00FB2F35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988"/>
        <w:gridCol w:w="2852"/>
        <w:gridCol w:w="6078"/>
      </w:tblGrid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FB2F35" w:rsidRPr="00FF4CBF" w:rsidRDefault="00FB2F35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Характеристики акций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988"/>
        <w:gridCol w:w="3408"/>
        <w:gridCol w:w="2387"/>
        <w:gridCol w:w="203"/>
        <w:gridCol w:w="2932"/>
      </w:tblGrid>
      <w:tr w:rsidR="00FB2F35" w:rsidRPr="00FF4CBF" w:rsidTr="00350E42">
        <w:tc>
          <w:tcPr>
            <w:tcW w:w="98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0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Акционерное общество (эмитент)</w:t>
            </w:r>
          </w:p>
        </w:tc>
        <w:tc>
          <w:tcPr>
            <w:tcW w:w="2590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932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932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0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Номинальный держатель</w:t>
            </w:r>
          </w:p>
        </w:tc>
        <w:tc>
          <w:tcPr>
            <w:tcW w:w="2590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932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932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340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Обыкновенные</w:t>
            </w: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Доля в уставном капитале, %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Номинальная стоимость пакета акций, руб.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Регистрационные номера выпусков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3408" w:type="dxa"/>
            <w:vMerge w:val="restart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Привилегированные</w:t>
            </w: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Доля в уставном капитале, %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Номинальная стоимость пакета акций, руб.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408" w:type="dxa"/>
            <w:vMerge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Регистрационные номера выпусков</w:t>
            </w:r>
          </w:p>
        </w:tc>
        <w:tc>
          <w:tcPr>
            <w:tcW w:w="3135" w:type="dxa"/>
            <w:gridSpan w:val="2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Выписка из реестра акционеров (дата)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специального права («золотая акция»)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начала использования специального права («золотая акция»)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 действия специального права («золотая акция»)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rPr>
          <w:trHeight w:val="1108"/>
        </w:trPr>
        <w:tc>
          <w:tcPr>
            <w:tcW w:w="98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408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Основания возникновения права собственности Республики Дагестан</w:t>
            </w:r>
          </w:p>
        </w:tc>
        <w:tc>
          <w:tcPr>
            <w:tcW w:w="5522" w:type="dxa"/>
            <w:gridSpan w:val="3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Правообладатель государственного имущества Республики Дагестан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846"/>
        <w:gridCol w:w="5084"/>
      </w:tblGrid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84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5084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5084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5084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846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F35" w:rsidRPr="00FF4CBF" w:rsidRDefault="00FB2F35" w:rsidP="00FB2F35">
      <w:pPr>
        <w:rPr>
          <w:sz w:val="24"/>
          <w:szCs w:val="24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4. Сведения об оборотоспособности 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819"/>
      </w:tblGrid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Ограничен в обороте</w:t>
            </w:r>
          </w:p>
        </w:tc>
        <w:tc>
          <w:tcPr>
            <w:tcW w:w="4819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350E42">
        <w:tc>
          <w:tcPr>
            <w:tcW w:w="846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4111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B2F35" w:rsidRPr="00FF4CBF" w:rsidRDefault="00FB2F35" w:rsidP="00FB2F3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FB2F35" w:rsidRPr="00FF4CBF" w:rsidRDefault="00FB2F35" w:rsidP="00FB2F35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r w:rsidRPr="00FF4CBF">
        <w:rPr>
          <w:rFonts w:ascii="Times New Roman" w:hAnsi="Times New Roman"/>
          <w:sz w:val="24"/>
          <w:szCs w:val="24"/>
          <w:lang w:eastAsia="ru-RU"/>
        </w:rPr>
        <w:t>заместитель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FB2F35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2F35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FB2F35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FB2F35" w:rsidRPr="00FF4CBF" w:rsidRDefault="00FB2F35" w:rsidP="00FB2F35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2.4. Сведения об акциях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FB2F35" w:rsidRPr="00FF4CBF" w:rsidRDefault="00FB2F35" w:rsidP="00FB2F3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2.4.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FB2F35" w:rsidRPr="00FF4CBF" w:rsidRDefault="00FB2F35" w:rsidP="00FB2F3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___________ </w:t>
      </w:r>
    </w:p>
    <w:p w:rsidR="00FB2F35" w:rsidRPr="00FF4CBF" w:rsidRDefault="00FB2F35" w:rsidP="00FB2F35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6"/>
        <w:tblW w:w="9918" w:type="dxa"/>
        <w:tblInd w:w="-601" w:type="dxa"/>
        <w:tblLook w:val="04A0" w:firstRow="1" w:lastRow="0" w:firstColumn="1" w:lastColumn="0" w:noHBand="0" w:noVBand="1"/>
      </w:tblPr>
      <w:tblGrid>
        <w:gridCol w:w="988"/>
        <w:gridCol w:w="2994"/>
        <w:gridCol w:w="2614"/>
        <w:gridCol w:w="3322"/>
      </w:tblGrid>
      <w:tr w:rsidR="00FB2F35" w:rsidRPr="00FF4CBF" w:rsidTr="00FB2F35">
        <w:tc>
          <w:tcPr>
            <w:tcW w:w="988" w:type="dxa"/>
            <w:vMerge w:val="restart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4" w:type="dxa"/>
            <w:vMerge w:val="restart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Акции, в отношении которых установлено ограничение обременение</w:t>
            </w:r>
          </w:p>
        </w:tc>
        <w:tc>
          <w:tcPr>
            <w:tcW w:w="261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акций</w:t>
            </w:r>
          </w:p>
        </w:tc>
        <w:tc>
          <w:tcPr>
            <w:tcW w:w="3322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  <w:vMerge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 акций</w:t>
            </w:r>
          </w:p>
        </w:tc>
        <w:tc>
          <w:tcPr>
            <w:tcW w:w="3322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936" w:type="dxa"/>
            <w:gridSpan w:val="2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936" w:type="dxa"/>
            <w:gridSpan w:val="2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5936" w:type="dxa"/>
            <w:gridSpan w:val="2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5936" w:type="dxa"/>
            <w:gridSpan w:val="2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  <w:vMerge w:val="restart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94" w:type="dxa"/>
            <w:vMerge w:val="restart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22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35" w:rsidRPr="00FF4CBF" w:rsidTr="00FB2F35">
        <w:tc>
          <w:tcPr>
            <w:tcW w:w="988" w:type="dxa"/>
            <w:vMerge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322" w:type="dxa"/>
          </w:tcPr>
          <w:p w:rsidR="00FB2F35" w:rsidRPr="00FF4CBF" w:rsidRDefault="00FB2F3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F35" w:rsidRPr="00FF4CBF" w:rsidRDefault="00FB2F35" w:rsidP="00FB2F35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FB2F35" w:rsidRPr="00FF4CBF" w:rsidRDefault="00FB2F35" w:rsidP="00FB2F3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FB2F35" w:rsidRPr="00FF4CBF" w:rsidRDefault="00FB2F35" w:rsidP="00FB2F35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r w:rsidRPr="00FF4CBF">
        <w:rPr>
          <w:rFonts w:ascii="Times New Roman" w:hAnsi="Times New Roman"/>
          <w:sz w:val="24"/>
          <w:szCs w:val="24"/>
          <w:lang w:eastAsia="ru-RU"/>
        </w:rPr>
        <w:t>заместитель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FB2F35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2F35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B2F35" w:rsidRPr="00FF4CBF" w:rsidRDefault="00FB2F3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FB2F35" w:rsidRPr="00FF4CBF" w:rsidRDefault="00FB2F35" w:rsidP="00FB2F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p w:rsidR="007653C0" w:rsidRDefault="007653C0"/>
    <w:p w:rsidR="007653C0" w:rsidRDefault="007653C0"/>
    <w:p w:rsidR="007653C0" w:rsidRDefault="007653C0"/>
    <w:p w:rsidR="007653C0" w:rsidRDefault="007653C0"/>
    <w:p w:rsidR="007653C0" w:rsidRDefault="007653C0"/>
    <w:p w:rsidR="007653C0" w:rsidRDefault="007653C0"/>
    <w:p w:rsidR="007653C0" w:rsidRDefault="007653C0"/>
    <w:p w:rsidR="007653C0" w:rsidRDefault="007653C0"/>
    <w:p w:rsidR="007653C0" w:rsidRDefault="007653C0"/>
    <w:p w:rsidR="007653C0" w:rsidRDefault="007653C0"/>
    <w:p w:rsidR="007653C0" w:rsidRPr="002E1409" w:rsidRDefault="007653C0" w:rsidP="002E1409">
      <w:pPr>
        <w:spacing w:line="36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2E1409">
        <w:rPr>
          <w:rFonts w:ascii="Times New Roman" w:eastAsia="Calibri" w:hAnsi="Times New Roman"/>
          <w:b/>
          <w:sz w:val="24"/>
          <w:szCs w:val="24"/>
        </w:rPr>
        <w:lastRenderedPageBreak/>
        <w:t>Общие правила заполнения форм</w:t>
      </w:r>
    </w:p>
    <w:p w:rsidR="007653C0" w:rsidRPr="007653C0" w:rsidRDefault="007653C0" w:rsidP="00D0257A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Заполнение формы осуществляется на русском языке.</w:t>
      </w:r>
    </w:p>
    <w:p w:rsidR="007653C0" w:rsidRPr="007653C0" w:rsidRDefault="007653C0" w:rsidP="00D0257A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В случае отсутствия соответствующих сведений об объекте учета, в том числе о лицах, обладающих правами на государственное имущество Республики Дагестан и сведениями о нем, строки формы заполняются словами "нет данных".</w:t>
      </w:r>
    </w:p>
    <w:p w:rsidR="007653C0" w:rsidRPr="007653C0" w:rsidRDefault="007653C0" w:rsidP="00D0257A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При заполнении граф и строк формы внесенные в них сведения об объекте учета, в том числе о лице, обладающем правами на государственное имущество Республики Дагестан и сведениями о нем, должны быть подтверждены соответствующими данными, содержащимися в первичных документах. Копии указанных документов представляются вместе с картами.</w:t>
      </w:r>
    </w:p>
    <w:p w:rsidR="007653C0" w:rsidRPr="007653C0" w:rsidRDefault="007653C0" w:rsidP="00D0257A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В случае если объект учета расположен за рубежом, то в строке "Адрес (местоположение)" и в строках, содержащих сведения о стоимости, дополнительно указываются соответственно наименование страны и его стоимость в валюте соответствующей страны (в круглых скобках).</w:t>
      </w:r>
    </w:p>
    <w:p w:rsidR="007653C0" w:rsidRPr="007653C0" w:rsidRDefault="007653C0" w:rsidP="00D0257A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Все листы формы нумеруются.</w:t>
      </w:r>
    </w:p>
    <w:p w:rsidR="007653C0" w:rsidRPr="007653C0" w:rsidRDefault="007653C0" w:rsidP="00D0257A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Каждая карта сведений об объекте учета (далее - карта) заверяется подписью руководителя (заместителя руководителя) правообладателя.</w:t>
      </w:r>
    </w:p>
    <w:p w:rsidR="007653C0" w:rsidRPr="007653C0" w:rsidRDefault="007653C0" w:rsidP="00D0257A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В случае учета имущества, составляющего государственную казну Республики Дагестан, каждая карта заверяется руководителем (заместителем руководителя) Министерства.</w:t>
      </w:r>
    </w:p>
    <w:p w:rsidR="007653C0" w:rsidRPr="007653C0" w:rsidRDefault="007653C0" w:rsidP="00D0257A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Копии документов, подтверждающих содержащиеся в картах сведения, заверяются нотариально или создавшими документы органами либо организациями. В иных случаях уполномоченное правообладателем лицо проставляет на копиях документов надпись "верно", прошивает их и заверяет подписью с указанием своей фамилии и инициалов и даты заверения. Аналогичным образом заверяются копии документов о расположенном за рубежом государственном имуществе Республики Дагестан, составленных на государственном (официальном) языке соответствующего государства, переведенных на русский язык и надлежащим образом удостоверенных.</w:t>
      </w:r>
    </w:p>
    <w:p w:rsidR="007653C0" w:rsidRPr="007653C0" w:rsidRDefault="007653C0" w:rsidP="00D0257A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При заполнении форм используются следующие сокращенные обозначения: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ЕГРПВС - Единый государственный реестр прав на воздушные суда и сделок с ними;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ГРГРВСРФ - Государственный реестр гражданских воздушных судов Российской Федерации;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ГРИРФ - Государственный реестр изобретений Российской Федерации;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ГРНМПТРФ - Государственный реестр наименований мест происхождения товаров Российской Федерации;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ГРПМРФ - Государственный реестр полезных моделей Российской Федерации;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ГРПОРФ - Государственный реестр промышленных образцов Российской Федерации;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lastRenderedPageBreak/>
        <w:t>ГРТЗРФ - Государственный реестр товарных знаков и знаков обслуживания Российской Федерации;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ГСР - Государственный судовой реестр;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ЕГРОКН - единый государственный реестр объектов культурного наследия (памятников истории и культуры) народов Российской Федерации;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ЕГРН - Единый государственный реестр недвижимости;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ЕГРЮЛ - Единый государственный реестр юридических лиц;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ЕГРИП - Единый государственный реестр индивидуальных предпринимателей;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ИНН - идентификационный номер налогоплательщика;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КПП - код причины постановки на учет;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ОГРН - основной государственный регистрационный номер;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ОГРНИП - основной государственный регистрационный номер индивидуального предпринимателя;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ОКТМО - Общероссийский классификатор территорий муниципальных образований;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ОКВЭД - Общероссийский классификатор видов экономической деятельности;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ОКОГУ - Общероссийский классификатор органов государственной власти и управления;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ОКОПФ - Общероссийский классификатор организационно-правовых форм хозяйствующих субъектов;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ОКПО - Общероссийский классификатор предприятий, организаций;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ОКФ</w:t>
      </w:r>
      <w:bookmarkStart w:id="0" w:name="_GoBack"/>
      <w:bookmarkEnd w:id="0"/>
      <w:r w:rsidRPr="007653C0">
        <w:rPr>
          <w:rFonts w:ascii="Times New Roman" w:eastAsia="Calibri" w:hAnsi="Times New Roman"/>
          <w:sz w:val="24"/>
          <w:szCs w:val="24"/>
        </w:rPr>
        <w:t>С - Общероссийский классификатор форм собственности;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РВСАОНРФ - Реестр воздушных судов авиации общего назначения Российской Федерации;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РМРС - Российский международный реестр судов;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РНГИ - реестровый номер государственного имущества;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РРТС - Реестр регистрации транспортных средств;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РСС - реестр строящихся судов;</w:t>
      </w:r>
    </w:p>
    <w:p w:rsidR="007653C0" w:rsidRPr="007653C0" w:rsidRDefault="007653C0" w:rsidP="00D0257A">
      <w:p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РМС - реестр маломерных судов;</w:t>
      </w:r>
    </w:p>
    <w:p w:rsidR="00D0257A" w:rsidRDefault="007653C0" w:rsidP="00D0257A">
      <w:pPr>
        <w:tabs>
          <w:tab w:val="left" w:pos="7088"/>
          <w:tab w:val="left" w:pos="7230"/>
        </w:tabs>
        <w:spacing w:line="360" w:lineRule="auto"/>
        <w:ind w:right="2267"/>
        <w:contextualSpacing/>
        <w:rPr>
          <w:rFonts w:ascii="Times New Roman" w:eastAsia="Calibri" w:hAnsi="Times New Roman"/>
          <w:sz w:val="24"/>
          <w:szCs w:val="24"/>
        </w:rPr>
      </w:pPr>
      <w:r w:rsidRPr="007653C0">
        <w:rPr>
          <w:rFonts w:ascii="Times New Roman" w:eastAsia="Calibri" w:hAnsi="Times New Roman"/>
          <w:sz w:val="24"/>
          <w:szCs w:val="24"/>
        </w:rPr>
        <w:t>СРХС-Стати</w:t>
      </w:r>
      <w:r w:rsidR="00D0257A">
        <w:rPr>
          <w:rFonts w:ascii="Times New Roman" w:eastAsia="Calibri" w:hAnsi="Times New Roman"/>
          <w:sz w:val="24"/>
          <w:szCs w:val="24"/>
        </w:rPr>
        <w:t>стический регистр хозяйствующих  субъектов</w:t>
      </w:r>
    </w:p>
    <w:p w:rsidR="007653C0" w:rsidRPr="007653C0" w:rsidRDefault="002E1409" w:rsidP="002E1409">
      <w:pPr>
        <w:tabs>
          <w:tab w:val="left" w:pos="7088"/>
          <w:tab w:val="left" w:pos="7230"/>
        </w:tabs>
        <w:spacing w:line="360" w:lineRule="auto"/>
        <w:ind w:right="3116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E10CC1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7653C0" w:rsidRPr="00742CDF">
        <w:rPr>
          <w:rFonts w:ascii="Times New Roman" w:hAnsi="Times New Roman"/>
          <w:b/>
          <w:sz w:val="24"/>
          <w:szCs w:val="24"/>
        </w:rPr>
        <w:t>Заполнение форм</w:t>
      </w:r>
    </w:p>
    <w:p w:rsidR="007653C0" w:rsidRPr="007653C0" w:rsidRDefault="007653C0" w:rsidP="009211C8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 xml:space="preserve">В формах </w:t>
      </w:r>
      <w:hyperlink w:anchor="P217" w:history="1">
        <w:r w:rsidRPr="007653C0">
          <w:rPr>
            <w:rFonts w:ascii="Times New Roman" w:hAnsi="Times New Roman"/>
            <w:color w:val="0000FF"/>
            <w:sz w:val="24"/>
            <w:szCs w:val="24"/>
            <w:lang w:eastAsia="ru-RU"/>
          </w:rPr>
          <w:t xml:space="preserve">карт </w:t>
        </w:r>
      </w:hyperlink>
      <w:hyperlink w:anchor="P2502" w:history="1">
        <w:r w:rsidRPr="007653C0">
          <w:rPr>
            <w:rFonts w:ascii="Times New Roman" w:hAnsi="Times New Roman"/>
            <w:color w:val="0000FF"/>
            <w:sz w:val="24"/>
            <w:szCs w:val="24"/>
            <w:lang w:eastAsia="ru-RU"/>
          </w:rPr>
          <w:t>2.4</w:t>
        </w:r>
      </w:hyperlink>
      <w:r w:rsidRPr="007653C0">
        <w:rPr>
          <w:rFonts w:ascii="Times New Roman" w:hAnsi="Times New Roman"/>
          <w:sz w:val="24"/>
          <w:szCs w:val="24"/>
          <w:lang w:eastAsia="ru-RU"/>
        </w:rPr>
        <w:t xml:space="preserve"> в таблицах "Реестровый номер государственного имущества (РНГИ)" вносятся соответственно постоянный или временный реестровый номер государственного имущества, присвоенный объекту учета Министерством, и дата его присвоения. В случае первичного учета имущества в указанных строках указывается "нет данных".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форме карты 2.4 в таблице "Характеристики акций" данные указываются в следующем порядке: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графе "Акционерное общество (эмитент)" данные указываются в следующем порядке: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 xml:space="preserve">в строку "Полное наименование" вносятся полное наименование акционерного </w:t>
      </w:r>
      <w:r w:rsidRPr="007653C0">
        <w:rPr>
          <w:rFonts w:ascii="Times New Roman" w:hAnsi="Times New Roman"/>
          <w:sz w:val="24"/>
          <w:szCs w:val="24"/>
          <w:lang w:eastAsia="ru-RU"/>
        </w:rPr>
        <w:lastRenderedPageBreak/>
        <w:t>общества (эмитента) в соответствии с данными ЕГРЮЛ;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строке "ОГРН" указывается основной государственный регистрационный номер акционерного общества (эмитента) согласно копиям свидетельств о государственной регистрации.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графе "Номинальный держатель" данные указываются в следующем порядке: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строку "Полное наименование" вносятся полное наименование юридического лица или фамилия, имя и отчество индивидуального предпринимателя либо физического лица, в пользу которого зарегистрировано или установлено ограничение (обременение) в соответствии с выпиской из соответствующего реестра;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строке "ОГРН" указывается основной государственный регистрационный номер лица согласно копиям свидетельств о государственной регистрации.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графе "Количество, шт." указывается численное значение количества акций, принадлежащих на праве собственности Республике Дагестан.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графе "Обыкновенные" данные указываются в следующем порядке: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строке "Количество, шт." указывается численное значение количества акций, принадлежащих на праве собственности Республике Дагестан;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строку "Доля в уставном капитале, %" вносится значение доли в процентах в уставном капитале в соответствии с учредительным документом акционерного общества, решением о выпуске ценных бумаг, проспектом их эмиссии, отчетом об итогах выпуска ценных бумаг или иным документом, подтверждающим долю в уставном капитале;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строке "Номинальная стоимость пакета акций, руб. номинальная стоимость одной акции в соответствии с выпиской из реестра акционеров или иным документом, подтверждающим указанные сведения;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строку "Регистрационные номера выпусков" вносятся регистрационные номера их выпусков.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графе "Привилегированные" данные указываются в следующем порядке: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строке "Количество, шт." указывается численное значение количества акций, принадлежащих на праве собственности Республике Дагестан;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строку "Доля в уставном капитале, %" вносится значение доли в процентах в уставном капитале в соответствии с учредительным документом акционерного общества, решением о выпуске ценных бумаг, проспектом их эмиссии, отчетом об итогах выпуска ценных бумаг или иным документом, подтверждающим долю в уставном капитале;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строке "Номинальная стоимость пакета акций, руб. номинальная стоимость одной акции в соответствии с выпиской из реестра акционеров или иным документом, подтверждающим указанные сведения;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строку "Регистрационные номера выпусков" вносятся регистрационные номера их выпусков.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графе "Выписка из реестра акционеров (дата)" указывается дата выписки из реестра акционеров.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графу "Наличие специального права ("золотая акция")" вносится слово "да", если Правительством Республики Дагестан принято решение об использовании специального права ("золотой акции") в отношении акционерного общества, подтверждаемое соответствующим распорядительным документом или иным документом, содержащим сведения о наличии специального права ("золотая акция"). Если такое решение не принято или Правительством Республики Дагестан принято решение о прекращении действия специального права ("золотой акции"), в указанную строку вносится слово "нет".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графу "Дата начала использования специального права ("золотая акция")" вносится дата (число, месяц, год) отчуждения из собственности Республики Дагестан 75 процентов акций акционерного общества (эмитента) согласно дате договора купли-продажи от "__" _________ г. N ____ или иного документа, подтверждающего дату начала использования указанного права.</w:t>
      </w:r>
    </w:p>
    <w:p w:rsidR="007653C0" w:rsidRPr="007653C0" w:rsidRDefault="007653C0" w:rsidP="00D0257A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 xml:space="preserve">В графу "Дата прекращения действия специального права ("золотая акция")" вносится </w:t>
      </w:r>
      <w:r w:rsidRPr="007653C0">
        <w:rPr>
          <w:rFonts w:ascii="Times New Roman" w:hAnsi="Times New Roman"/>
          <w:sz w:val="24"/>
          <w:szCs w:val="24"/>
          <w:lang w:eastAsia="ru-RU"/>
        </w:rPr>
        <w:lastRenderedPageBreak/>
        <w:t>дата (число, месяц, год) принятия Правительством Республики Дагестан решения о прекращении действия специального права ("золотая акция").</w:t>
      </w:r>
    </w:p>
    <w:p w:rsidR="009211C8" w:rsidRDefault="007653C0" w:rsidP="009211C8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графе "Основания возникновения права собственности Республики Дагестан" указываются реквизиты документа, на основании которого у Республики Дагестан в отношении объекта учета возникло право собственности (дата, номер, вид документа, полное название документа, орган, издавший  документ).</w:t>
      </w:r>
    </w:p>
    <w:p w:rsidR="007653C0" w:rsidRPr="007653C0" w:rsidRDefault="007653C0" w:rsidP="00D0257A">
      <w:pPr>
        <w:tabs>
          <w:tab w:val="left" w:pos="851"/>
        </w:tabs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формах карт 2.4 в таблицах "Правообладатель государственного имущества Республики Дагестан" данные вносятся в следующем порядке:</w:t>
      </w:r>
    </w:p>
    <w:p w:rsidR="007653C0" w:rsidRPr="007653C0" w:rsidRDefault="007653C0" w:rsidP="002E1409">
      <w:pPr>
        <w:tabs>
          <w:tab w:val="left" w:pos="851"/>
        </w:tabs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графе "Наименование" указывается полное наименование юридического лица, включающее его организационно-правовую форму в соответствии с нотариально заверенной копией учредительного документа. В случае если правообладателем является физическое лицо, в эту строку вносятся его фамилия, имя и отчество в соответствии с удостоверяющим личность документом. Если объектом учета является имущество, составляющее государственную казну Республики Дагестан, в эту строку вносятся слова "Республика Дагестан";</w:t>
      </w:r>
    </w:p>
    <w:p w:rsidR="007653C0" w:rsidRPr="007653C0" w:rsidRDefault="007653C0" w:rsidP="002E1409">
      <w:pPr>
        <w:tabs>
          <w:tab w:val="left" w:pos="851"/>
        </w:tabs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графе "ОГРН/ИНН" указываются основной государственный регистрационный номер лица согласно копиям свидетельств о государственной регистрации и идентификационный номер налогоплательщика в соответствии со свидетельством о постановке на налоговый учет;</w:t>
      </w:r>
    </w:p>
    <w:p w:rsidR="007653C0" w:rsidRPr="007653C0" w:rsidRDefault="007653C0" w:rsidP="002E1409">
      <w:pPr>
        <w:tabs>
          <w:tab w:val="left" w:pos="851"/>
        </w:tabs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графу "РНГИ" вносятся соответственно постоянный или временный реестровый номер правообладателя и дата его присвоения;</w:t>
      </w:r>
    </w:p>
    <w:p w:rsidR="007653C0" w:rsidRPr="007653C0" w:rsidRDefault="007653C0" w:rsidP="002E1409">
      <w:pPr>
        <w:tabs>
          <w:tab w:val="left" w:pos="851"/>
        </w:tabs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графе "Вид права" указывается вид права правообладателя на объект учета;</w:t>
      </w:r>
    </w:p>
    <w:p w:rsidR="007653C0" w:rsidRPr="007653C0" w:rsidRDefault="007653C0" w:rsidP="002E1409">
      <w:pPr>
        <w:tabs>
          <w:tab w:val="left" w:pos="851"/>
        </w:tabs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графе "Документы-основания возникновения права" указываются реквизиты документа, на основании которого у правообладателя в отношении объекта учета возникло право (дата, номер, вид документа, полное название документа, орган, издавший документ).</w:t>
      </w:r>
    </w:p>
    <w:p w:rsidR="007653C0" w:rsidRPr="007653C0" w:rsidRDefault="007653C0" w:rsidP="002E1409">
      <w:pPr>
        <w:tabs>
          <w:tab w:val="left" w:pos="851"/>
        </w:tabs>
        <w:spacing w:after="0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В формах карт  2.4, 2.5 таблицах "Сведения об оборотоспособности" данные вносятся в следующем порядке:</w:t>
      </w:r>
    </w:p>
    <w:p w:rsidR="007653C0" w:rsidRPr="007653C0" w:rsidRDefault="007653C0" w:rsidP="002E1409">
      <w:pPr>
        <w:tabs>
          <w:tab w:val="left" w:pos="851"/>
        </w:tabs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а) если имущество не ограничено в обороте, то в графу "Ограничен в обороте" и "Документы-основания ограничения оборота" вносятся слова "нет";</w:t>
      </w:r>
    </w:p>
    <w:p w:rsidR="007653C0" w:rsidRPr="007653C0" w:rsidRDefault="007653C0" w:rsidP="002E1409">
      <w:pPr>
        <w:tabs>
          <w:tab w:val="left" w:pos="851"/>
        </w:tabs>
        <w:spacing w:after="0"/>
        <w:ind w:firstLine="709"/>
        <w:rPr>
          <w:rFonts w:eastAsia="Calibri"/>
        </w:rPr>
      </w:pPr>
      <w:r w:rsidRPr="007653C0">
        <w:rPr>
          <w:rFonts w:ascii="Times New Roman" w:hAnsi="Times New Roman"/>
          <w:sz w:val="24"/>
          <w:szCs w:val="24"/>
          <w:lang w:eastAsia="ru-RU"/>
        </w:rPr>
        <w:t>б) если имущество ограничено в обороте, то в графу "Ограничен в обороте" вносится слово "да". При этом в графу "Документы-основания ограничения оборота" вносятся основные реквизиты закона, в котором указано на ограничение оборота государственного имущества Республики Дагестан, или закона, установившего порядок, по которому имущество определяется как ограниченно оборотоспособное (имущество может принадлежать лишь определенным участникам оборота или находиться в обороте по специальному разрешению), а также иного правового акта, предусматривающего специальное разрешение на оборот указанного имущества. Указанные реквизиты включают наименование, дату подписания и номер федерального закона и иного правового акта, после которых в круглых скобках указываются при наличии структурные единицы федерального закона и иного правового акта, например Федеральный закон от 21 декабря 2001 г. N 178-ФЗ "О приватизации государственного и муниципального имущества" (пункт 3 статьи 3).</w:t>
      </w:r>
    </w:p>
    <w:p w:rsidR="00D0257A" w:rsidRPr="002E1409" w:rsidRDefault="00D0257A" w:rsidP="002E1409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0257A">
        <w:rPr>
          <w:rFonts w:ascii="Times New Roman" w:eastAsiaTheme="minorHAnsi" w:hAnsi="Times New Roman"/>
          <w:b/>
          <w:sz w:val="24"/>
          <w:szCs w:val="24"/>
        </w:rPr>
        <w:t>В целях учета в реестре государственного имущества Республики Дагестан сведений об акциях, находящихся в собственности Республики Дагестан: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t>1) выписка из Единого государственного реестра юридических лиц в отношении акционерного общества (эмитента);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t>2) выписка из Единого государственного реестра юридических лиц в отношении номинального держателя акций;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lastRenderedPageBreak/>
        <w:t>3) выписка из реестра акционеров акционерного общества (эмитента);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t>4) учредительные документы акционерного общества (эмитента);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t>5) решения о выпуске ценных бумаг акционерного общества (эмитента);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t>6) проспекты эмиссии ценных бумаг акционерного общества (эмитента);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t>7) отчеты об итогах выпуска ценных бумаг;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t>8) документы о принятии решения об использовании в отношении акционерного общества специального права («золой акции»);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t>9) иные документы, предусмотренные федеральным законом, а также другие документы, которые подтверждают наличие, возникновение, переход, прекращение права или ограничение права и обременение акций в соответствии с законодательством, действовавшим в месте и на момент возникновения, прекращения, перехода прав, ограничения прав и обременений объектов недвижимости;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t>10) выписка из Единого государственного реестра юридических лиц (Единого государственного реестра индивидуальных предпринимателей) в отношении правообладателя;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t>11) документы, на основании которых возникло и/или было установлено обременение в отношении акций;</w:t>
      </w:r>
    </w:p>
    <w:p w:rsidR="00D0257A" w:rsidRPr="00D0257A" w:rsidRDefault="00D0257A" w:rsidP="002E140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0257A">
        <w:rPr>
          <w:rFonts w:ascii="Times New Roman" w:eastAsiaTheme="minorHAnsi" w:hAnsi="Times New Roman"/>
          <w:sz w:val="24"/>
          <w:szCs w:val="24"/>
        </w:rPr>
        <w:t>12) выписка из Единого государственного реестра юридических лиц (Единого государственного реестра индивидуальных предпринимателей) в отношении лица, в пользу которого установлено ограничение (обременение) акций.</w:t>
      </w:r>
    </w:p>
    <w:p w:rsidR="007653C0" w:rsidRPr="007653C0" w:rsidRDefault="007653C0" w:rsidP="002E1409">
      <w:pPr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7653C0" w:rsidRDefault="007653C0" w:rsidP="002E1409">
      <w:pPr>
        <w:ind w:firstLine="709"/>
      </w:pPr>
    </w:p>
    <w:sectPr w:rsidR="007653C0" w:rsidSect="002E14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21" w:rsidRDefault="00D36C21" w:rsidP="00FB2F35">
      <w:pPr>
        <w:spacing w:after="0" w:line="240" w:lineRule="auto"/>
      </w:pPr>
      <w:r>
        <w:separator/>
      </w:r>
    </w:p>
  </w:endnote>
  <w:endnote w:type="continuationSeparator" w:id="0">
    <w:p w:rsidR="00D36C21" w:rsidRDefault="00D36C21" w:rsidP="00FB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21" w:rsidRDefault="00D36C21" w:rsidP="00FB2F35">
      <w:pPr>
        <w:spacing w:after="0" w:line="240" w:lineRule="auto"/>
      </w:pPr>
      <w:r>
        <w:separator/>
      </w:r>
    </w:p>
  </w:footnote>
  <w:footnote w:type="continuationSeparator" w:id="0">
    <w:p w:rsidR="00D36C21" w:rsidRDefault="00D36C21" w:rsidP="00FB2F35">
      <w:pPr>
        <w:spacing w:after="0" w:line="240" w:lineRule="auto"/>
      </w:pPr>
      <w:r>
        <w:continuationSeparator/>
      </w:r>
    </w:p>
  </w:footnote>
  <w:footnote w:id="1">
    <w:p w:rsidR="00FB2F35" w:rsidRPr="00094518" w:rsidRDefault="00FB2F35" w:rsidP="00FB2F35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2">
    <w:p w:rsidR="00FB2F35" w:rsidRPr="00094518" w:rsidRDefault="00FB2F35" w:rsidP="00FB2F35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A1CF0"/>
    <w:multiLevelType w:val="hybridMultilevel"/>
    <w:tmpl w:val="DE260BA4"/>
    <w:lvl w:ilvl="0" w:tplc="04190011">
      <w:start w:val="1"/>
      <w:numFmt w:val="decimal"/>
      <w:lvlText w:val="%1)"/>
      <w:lvlJc w:val="left"/>
      <w:pPr>
        <w:ind w:left="126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F35"/>
    <w:rsid w:val="001067C1"/>
    <w:rsid w:val="00241394"/>
    <w:rsid w:val="002E1409"/>
    <w:rsid w:val="003C0CCB"/>
    <w:rsid w:val="00556F93"/>
    <w:rsid w:val="007653C0"/>
    <w:rsid w:val="009211C8"/>
    <w:rsid w:val="009E232C"/>
    <w:rsid w:val="00D0257A"/>
    <w:rsid w:val="00D36C21"/>
    <w:rsid w:val="00E10CC1"/>
    <w:rsid w:val="00E30E84"/>
    <w:rsid w:val="00FB2F35"/>
    <w:rsid w:val="00FD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2504"/>
  <w15:docId w15:val="{C3ECDD64-32C4-45A8-8536-5F6E2F69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B2F3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B2F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B2F35"/>
    <w:rPr>
      <w:vertAlign w:val="superscript"/>
    </w:rPr>
  </w:style>
  <w:style w:type="table" w:styleId="a6">
    <w:name w:val="Table Grid"/>
    <w:basedOn w:val="a1"/>
    <w:rsid w:val="00FB2F35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B2F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Пользователь</cp:lastModifiedBy>
  <cp:revision>7</cp:revision>
  <cp:lastPrinted>2019-02-20T16:57:00Z</cp:lastPrinted>
  <dcterms:created xsi:type="dcterms:W3CDTF">2018-11-01T13:41:00Z</dcterms:created>
  <dcterms:modified xsi:type="dcterms:W3CDTF">2019-03-17T17:04:00Z</dcterms:modified>
</cp:coreProperties>
</file>