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51B" w:rsidRDefault="00EF651B" w:rsidP="00356E01">
      <w:pPr>
        <w:autoSpaceDE w:val="0"/>
        <w:autoSpaceDN w:val="0"/>
        <w:spacing w:after="120" w:line="240" w:lineRule="auto"/>
        <w:jc w:val="right"/>
        <w:rPr>
          <w:rFonts w:ascii="Times New Roman" w:hAnsi="Times New Roman"/>
          <w:sz w:val="24"/>
          <w:szCs w:val="24"/>
          <w:lang w:eastAsia="ru-RU"/>
        </w:rPr>
      </w:pPr>
    </w:p>
    <w:p w:rsidR="00BD1032" w:rsidRDefault="00BD1032" w:rsidP="00BD1032">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МИНИСТЕРСТВО ПО ЗЕМЕЛЬНЫМ И ИМУЩЕСТВЕННЫМ ОТНОШЕНИЯМ РЕСПУБЛИКИ ДАГЕСТАН </w:t>
      </w:r>
    </w:p>
    <w:p w:rsidR="00BD1032" w:rsidRDefault="00BD1032" w:rsidP="00BD1032">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ОТДЕЛ РЕЕСТРА ГОСУДАРСТВЕННОГО ИМУЩЕСТВА  </w:t>
      </w:r>
      <w:r>
        <w:rPr>
          <w:rFonts w:ascii="Times New Roman" w:hAnsi="Times New Roman"/>
          <w:sz w:val="28"/>
          <w:szCs w:val="28"/>
        </w:rPr>
        <w:br/>
        <w:t> И КОНТРОЛЯ ОФОРМЛЕНИЯ ПРАВ</w:t>
      </w: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36"/>
          <w:szCs w:val="36"/>
        </w:rPr>
      </w:pPr>
    </w:p>
    <w:p w:rsidR="00BD1032" w:rsidRDefault="00BD1032" w:rsidP="00BD1032">
      <w:pPr>
        <w:autoSpaceDE w:val="0"/>
        <w:autoSpaceDN w:val="0"/>
        <w:spacing w:after="0" w:line="240" w:lineRule="auto"/>
        <w:jc w:val="center"/>
        <w:rPr>
          <w:rFonts w:ascii="Times New Roman" w:hAnsi="Times New Roman"/>
          <w:b/>
          <w:sz w:val="32"/>
          <w:szCs w:val="32"/>
        </w:rPr>
      </w:pPr>
      <w:r>
        <w:rPr>
          <w:rFonts w:ascii="Times New Roman" w:hAnsi="Times New Roman"/>
          <w:b/>
          <w:sz w:val="36"/>
          <w:szCs w:val="36"/>
        </w:rPr>
        <w:t>МЕТОДИЧЕСКОЕ ПОСОБИЕ</w:t>
      </w:r>
      <w:r>
        <w:rPr>
          <w:rFonts w:ascii="Times New Roman" w:hAnsi="Times New Roman"/>
          <w:b/>
          <w:sz w:val="32"/>
          <w:szCs w:val="32"/>
        </w:rPr>
        <w:t xml:space="preserve"> </w:t>
      </w:r>
      <w:r>
        <w:rPr>
          <w:rFonts w:ascii="Times New Roman" w:hAnsi="Times New Roman"/>
          <w:b/>
          <w:sz w:val="32"/>
          <w:szCs w:val="32"/>
        </w:rPr>
        <w:br/>
        <w:t>по заполнению карт сведений об объектах учета государственного имущества Республики Дагестан</w:t>
      </w:r>
    </w:p>
    <w:p w:rsidR="00BD1032" w:rsidRDefault="00BD1032" w:rsidP="00BD1032">
      <w:pPr>
        <w:autoSpaceDE w:val="0"/>
        <w:autoSpaceDN w:val="0"/>
        <w:spacing w:after="0" w:line="240" w:lineRule="auto"/>
        <w:jc w:val="center"/>
        <w:rPr>
          <w:rFonts w:ascii="Times New Roman" w:hAnsi="Times New Roman"/>
          <w:b/>
          <w:sz w:val="32"/>
          <w:szCs w:val="32"/>
        </w:rPr>
      </w:pPr>
      <w:r>
        <w:rPr>
          <w:rFonts w:ascii="Times New Roman" w:hAnsi="Times New Roman"/>
          <w:b/>
          <w:sz w:val="32"/>
          <w:szCs w:val="32"/>
        </w:rPr>
        <w:t xml:space="preserve">(Карта № </w:t>
      </w:r>
      <w:r>
        <w:rPr>
          <w:rFonts w:ascii="Times New Roman" w:hAnsi="Times New Roman"/>
          <w:b/>
          <w:sz w:val="32"/>
          <w:szCs w:val="32"/>
        </w:rPr>
        <w:t>2</w:t>
      </w:r>
      <w:bookmarkStart w:id="0" w:name="_GoBack"/>
      <w:bookmarkEnd w:id="0"/>
      <w:r>
        <w:rPr>
          <w:rFonts w:ascii="Times New Roman" w:hAnsi="Times New Roman"/>
          <w:b/>
          <w:sz w:val="32"/>
          <w:szCs w:val="32"/>
        </w:rPr>
        <w:t>.1)</w:t>
      </w: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p>
    <w:p w:rsidR="00BD1032" w:rsidRDefault="00BD1032" w:rsidP="00BD1032">
      <w:pPr>
        <w:autoSpaceDE w:val="0"/>
        <w:autoSpaceDN w:val="0"/>
        <w:spacing w:after="120" w:line="240" w:lineRule="auto"/>
        <w:jc w:val="center"/>
        <w:rPr>
          <w:rFonts w:ascii="Times New Roman" w:hAnsi="Times New Roman"/>
          <w:b/>
          <w:sz w:val="28"/>
          <w:szCs w:val="28"/>
        </w:rPr>
      </w:pPr>
      <w:r>
        <w:rPr>
          <w:rFonts w:ascii="Times New Roman" w:hAnsi="Times New Roman"/>
          <w:b/>
          <w:sz w:val="28"/>
          <w:szCs w:val="28"/>
        </w:rPr>
        <w:t>Махачкала 2019 г.</w:t>
      </w:r>
    </w:p>
    <w:p w:rsidR="00BD1032" w:rsidRDefault="00BD1032" w:rsidP="00BD1032">
      <w:pPr>
        <w:tabs>
          <w:tab w:val="left" w:pos="426"/>
        </w:tabs>
        <w:autoSpaceDE w:val="0"/>
        <w:autoSpaceDN w:val="0"/>
        <w:spacing w:after="0" w:line="360" w:lineRule="auto"/>
        <w:rPr>
          <w:rFonts w:ascii="Times New Roman" w:hAnsi="Times New Roman"/>
          <w:b/>
          <w:sz w:val="24"/>
          <w:szCs w:val="24"/>
        </w:rPr>
      </w:pPr>
      <w:r>
        <w:rPr>
          <w:rFonts w:ascii="Times New Roman" w:hAnsi="Times New Roman"/>
          <w:sz w:val="24"/>
          <w:szCs w:val="24"/>
        </w:rPr>
        <w:lastRenderedPageBreak/>
        <w:t>                                                                     </w:t>
      </w:r>
      <w:r>
        <w:rPr>
          <w:rFonts w:ascii="Times New Roman" w:hAnsi="Times New Roman"/>
          <w:b/>
          <w:sz w:val="24"/>
          <w:szCs w:val="24"/>
        </w:rPr>
        <w:t>Введение</w:t>
      </w:r>
    </w:p>
    <w:p w:rsidR="00BD1032" w:rsidRDefault="00BD1032" w:rsidP="00BD103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2018 году был полностью пересмотрен подход к организации ведения учета реестра государственного имущества Республики Дагестан.</w:t>
      </w:r>
    </w:p>
    <w:p w:rsidR="00BD1032" w:rsidRDefault="00BD1032" w:rsidP="00BD103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Планом мероприятий («дорожной карты») по повышению качества управления государственным имуществом Республики Дагестан (первый этап), утвержденным распоряжением Правительства Республики Дагестан от 20 марта 2018 г. № 47-р, правила ведения реестра государственного имущества Республики Дагестан приведены в соответствие с практикой, сформировавшейся на федеральном уровне.</w:t>
      </w:r>
    </w:p>
    <w:p w:rsidR="00BD1032" w:rsidRDefault="00BD1032" w:rsidP="00BD103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Новый порядок ведения реестра государственного имущества определен постановлением Правительства Республики Дагестан «О совершенствовании учета государственного имущества Республики Дагестан» от 12 июля 2018 г. № 88.</w:t>
      </w:r>
    </w:p>
    <w:p w:rsidR="00BD1032" w:rsidRDefault="00BD1032" w:rsidP="00BD103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Постановлением утверждено Положение об учете государственного имущества Республики Дагестан.</w:t>
      </w:r>
    </w:p>
    <w:p w:rsidR="00BD1032" w:rsidRDefault="00BD1032" w:rsidP="00BD103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Положением об учете государственного имущества Республики Дагестан объектами учета государственного имущества Республики Дагестан (далее - объекты учета) определяется расположенное на территории Российской Федерации или за рубежом следующее государственное имущество Республики Дагестан:</w:t>
      </w:r>
    </w:p>
    <w:p w:rsidR="00BD1032" w:rsidRDefault="00BD1032" w:rsidP="00BD103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суда, суда внутреннего плавания, космические объекты либо иное имущество, отнесенное законом к недвижимому имуществу);</w:t>
      </w:r>
    </w:p>
    <w:p w:rsidR="00BD1032" w:rsidRDefault="00BD1032" w:rsidP="00BD103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б) движимые вещи (документарные ценные бумаги (акции) либо иное не относящееся к недвижимым вещам имущество);</w:t>
      </w:r>
    </w:p>
    <w:p w:rsidR="00BD1032" w:rsidRDefault="00BD1032" w:rsidP="00BD1032">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иное имущество, в том числе бездокументарные ценные бумаги, не относящееся к недвижимым и движимым вещам.</w:t>
      </w:r>
    </w:p>
    <w:p w:rsidR="00BD1032" w:rsidRDefault="00BD1032" w:rsidP="00BD1032">
      <w:pPr>
        <w:autoSpaceDE w:val="0"/>
        <w:autoSpaceDN w:val="0"/>
        <w:spacing w:after="120" w:line="240" w:lineRule="auto"/>
        <w:ind w:firstLine="708"/>
        <w:jc w:val="both"/>
        <w:rPr>
          <w:rFonts w:ascii="Times New Roman" w:hAnsi="Times New Roman"/>
          <w:sz w:val="24"/>
          <w:szCs w:val="24"/>
          <w:lang w:eastAsia="ru-RU"/>
        </w:rPr>
      </w:pPr>
      <w:r>
        <w:rPr>
          <w:rFonts w:ascii="Times New Roman" w:hAnsi="Times New Roman"/>
          <w:sz w:val="24"/>
          <w:szCs w:val="24"/>
          <w:lang w:eastAsia="ru-RU"/>
        </w:rPr>
        <w:t>Реестр включает 3 раздела: о недвижимом имуществе; о движимом и ином имуществе; о лицах, обладающих правами на государственное имущество Республики Дагестан и сведениями о нем</w:t>
      </w:r>
      <w:r>
        <w:rPr>
          <w:rFonts w:ascii="Times New Roman" w:hAnsi="Times New Roman"/>
          <w:sz w:val="24"/>
          <w:szCs w:val="24"/>
          <w:lang w:eastAsia="ru-RU"/>
        </w:rPr>
        <w:br/>
      </w:r>
      <w:r>
        <w:rPr>
          <w:rFonts w:ascii="Times New Roman" w:hAnsi="Times New Roman"/>
          <w:sz w:val="24"/>
          <w:szCs w:val="24"/>
          <w:lang w:eastAsia="ru-RU"/>
        </w:rPr>
        <w:br/>
      </w:r>
      <w:r>
        <w:rPr>
          <w:rFonts w:ascii="Times New Roman" w:hAnsi="Times New Roman"/>
          <w:sz w:val="24"/>
          <w:szCs w:val="24"/>
          <w:lang w:eastAsia="ru-RU"/>
        </w:rPr>
        <w:br/>
      </w:r>
      <w:r>
        <w:rPr>
          <w:rFonts w:ascii="Times New Roman" w:hAnsi="Times New Roman"/>
          <w:sz w:val="24"/>
          <w:szCs w:val="24"/>
          <w:lang w:eastAsia="ru-RU"/>
        </w:rPr>
        <w:br/>
      </w:r>
      <w:r>
        <w:rPr>
          <w:rFonts w:ascii="Times New Roman" w:hAnsi="Times New Roman"/>
          <w:sz w:val="24"/>
          <w:szCs w:val="24"/>
          <w:lang w:eastAsia="ru-RU"/>
        </w:rPr>
        <w:br/>
      </w:r>
    </w:p>
    <w:p w:rsidR="00BD1032" w:rsidRPr="00FF4CBF" w:rsidRDefault="00BD1032" w:rsidP="00BD1032">
      <w:pPr>
        <w:autoSpaceDE w:val="0"/>
        <w:autoSpaceDN w:val="0"/>
        <w:spacing w:after="120" w:line="240" w:lineRule="auto"/>
        <w:jc w:val="both"/>
        <w:rPr>
          <w:rFonts w:ascii="Times New Roman" w:hAnsi="Times New Roman"/>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Раздел 2. Сведения о движимом и ином имуществе</w:t>
      </w:r>
    </w:p>
    <w:p w:rsidR="00EF651B" w:rsidRPr="00FF4CBF" w:rsidRDefault="00EF651B" w:rsidP="005E4923">
      <w:pPr>
        <w:tabs>
          <w:tab w:val="left" w:pos="1644"/>
        </w:tabs>
        <w:autoSpaceDE w:val="0"/>
        <w:autoSpaceDN w:val="0"/>
        <w:spacing w:after="120" w:line="240" w:lineRule="auto"/>
        <w:ind w:hanging="709"/>
        <w:jc w:val="both"/>
        <w:rPr>
          <w:rFonts w:ascii="Times New Roman" w:hAnsi="Times New Roman"/>
          <w:sz w:val="24"/>
          <w:szCs w:val="24"/>
          <w:lang w:eastAsia="ru-RU"/>
        </w:rPr>
      </w:pPr>
      <w:r w:rsidRPr="00FF4CBF">
        <w:rPr>
          <w:rFonts w:ascii="Times New Roman" w:hAnsi="Times New Roman"/>
          <w:sz w:val="24"/>
          <w:szCs w:val="24"/>
          <w:lang w:eastAsia="ru-RU"/>
        </w:rPr>
        <w:lastRenderedPageBreak/>
        <w:t>Подраздел 2.1.</w:t>
      </w:r>
      <w:r w:rsidR="005E4923">
        <w:rPr>
          <w:rFonts w:ascii="Times New Roman" w:hAnsi="Times New Roman"/>
          <w:sz w:val="24"/>
          <w:szCs w:val="24"/>
          <w:lang w:val="en-US" w:eastAsia="ru-RU"/>
        </w:rPr>
        <w:t> </w:t>
      </w:r>
      <w:r w:rsidRPr="00FF4CBF">
        <w:rPr>
          <w:rFonts w:ascii="Times New Roman" w:hAnsi="Times New Roman"/>
          <w:sz w:val="24"/>
          <w:szCs w:val="24"/>
          <w:lang w:eastAsia="ru-RU"/>
        </w:rPr>
        <w:t xml:space="preserve">Сведения о движимом имуществе, первоначальная стоимость которого равна или превышает 500 тыс. рублей, и особо ценном движимом имуществе, </w:t>
      </w:r>
      <w:r w:rsidRPr="00FF4CBF">
        <w:rPr>
          <w:rFonts w:ascii="Times New Roman" w:hAnsi="Times New Roman"/>
          <w:snapToGrid w:val="0"/>
          <w:sz w:val="24"/>
          <w:szCs w:val="24"/>
          <w:lang w:eastAsia="ru-RU"/>
        </w:rPr>
        <w:t xml:space="preserve">первоначальная стоимость которого равна или превышает </w:t>
      </w:r>
      <w:r>
        <w:rPr>
          <w:rFonts w:ascii="Times New Roman" w:hAnsi="Times New Roman"/>
          <w:snapToGrid w:val="0"/>
          <w:sz w:val="24"/>
          <w:szCs w:val="24"/>
          <w:lang w:eastAsia="ru-RU"/>
        </w:rPr>
        <w:t>50</w:t>
      </w:r>
      <w:r w:rsidRPr="00FF4CBF">
        <w:rPr>
          <w:rFonts w:ascii="Times New Roman" w:hAnsi="Times New Roman"/>
          <w:snapToGrid w:val="0"/>
          <w:sz w:val="24"/>
          <w:szCs w:val="24"/>
          <w:lang w:eastAsia="ru-RU"/>
        </w:rPr>
        <w:t xml:space="preserve"> тыс. рублей, и об ином имуществе</w:t>
      </w:r>
    </w:p>
    <w:p w:rsidR="00EF651B" w:rsidRPr="00FF4CBF" w:rsidRDefault="00EF651B" w:rsidP="00BD1032">
      <w:pPr>
        <w:autoSpaceDE w:val="0"/>
        <w:autoSpaceDN w:val="0"/>
        <w:spacing w:after="0" w:line="240" w:lineRule="auto"/>
        <w:jc w:val="right"/>
        <w:rPr>
          <w:rFonts w:ascii="Times New Roman" w:hAnsi="Times New Roman"/>
          <w:sz w:val="24"/>
          <w:szCs w:val="24"/>
          <w:lang w:eastAsia="ru-RU"/>
        </w:rPr>
      </w:pPr>
      <w:r w:rsidRPr="00FF4CBF">
        <w:rPr>
          <w:rFonts w:ascii="Times New Roman" w:hAnsi="Times New Roman"/>
          <w:sz w:val="24"/>
          <w:szCs w:val="24"/>
          <w:lang w:eastAsia="ru-RU"/>
        </w:rPr>
        <w:t>Карта № 2.1.</w:t>
      </w:r>
      <w:r w:rsidRPr="00FF4CBF">
        <w:rPr>
          <w:rFonts w:ascii="Times New Roman" w:hAnsi="Times New Roman"/>
          <w:sz w:val="24"/>
          <w:szCs w:val="24"/>
          <w:lang w:eastAsia="ru-RU"/>
        </w:rPr>
        <w:tab/>
      </w:r>
    </w:p>
    <w:p w:rsidR="00EF651B" w:rsidRPr="00FF4CBF" w:rsidRDefault="00BD1032" w:rsidP="00BD1032">
      <w:pPr>
        <w:tabs>
          <w:tab w:val="center" w:pos="9412"/>
        </w:tabs>
        <w:autoSpaceDE w:val="0"/>
        <w:autoSpaceDN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w:t>
      </w:r>
      <w:r w:rsidR="00EF651B" w:rsidRPr="00FF4CBF">
        <w:rPr>
          <w:rFonts w:ascii="Times New Roman" w:hAnsi="Times New Roman"/>
          <w:sz w:val="24"/>
          <w:szCs w:val="24"/>
          <w:lang w:eastAsia="ru-RU"/>
        </w:rPr>
        <w:t>Лист</w:t>
      </w:r>
      <w:r w:rsidR="00EF651B" w:rsidRPr="00FF4CBF">
        <w:rPr>
          <w:rFonts w:ascii="Times New Roman" w:hAnsi="Times New Roman"/>
          <w:sz w:val="24"/>
          <w:szCs w:val="24"/>
          <w:lang w:eastAsia="ru-RU"/>
        </w:rPr>
        <w:tab/>
        <w:t>___________</w:t>
      </w:r>
    </w:p>
    <w:p w:rsidR="00EF651B" w:rsidRPr="00FF4CBF" w:rsidRDefault="00EF651B" w:rsidP="00356E01">
      <w:pPr>
        <w:autoSpaceDE w:val="0"/>
        <w:autoSpaceDN w:val="0"/>
        <w:spacing w:before="120" w:after="120" w:line="240" w:lineRule="auto"/>
        <w:jc w:val="center"/>
        <w:rPr>
          <w:rFonts w:ascii="Times New Roman" w:hAnsi="Times New Roman"/>
          <w:sz w:val="24"/>
          <w:szCs w:val="24"/>
          <w:lang w:eastAsia="ru-RU"/>
        </w:rPr>
      </w:pPr>
    </w:p>
    <w:p w:rsidR="00EF651B" w:rsidRPr="00FF4CBF" w:rsidRDefault="00EF651B" w:rsidP="00356E01">
      <w:pPr>
        <w:jc w:val="center"/>
        <w:rPr>
          <w:rFonts w:ascii="Times New Roman" w:hAnsi="Times New Roman"/>
          <w:b/>
          <w:sz w:val="24"/>
          <w:szCs w:val="24"/>
          <w:lang w:eastAsia="ru-RU"/>
        </w:rPr>
      </w:pPr>
      <w:r w:rsidRPr="00FF4CBF">
        <w:rPr>
          <w:rFonts w:ascii="Times New Roman" w:hAnsi="Times New Roman"/>
          <w:b/>
          <w:sz w:val="24"/>
          <w:szCs w:val="24"/>
          <w:lang w:eastAsia="ru-RU"/>
        </w:rPr>
        <w:t>ДВИЖИМОЕ ИМУЩЕСТВО, ПЕРВОНАЧАЛЬНАЯ СТОИМОСТЬ КОТОРОГО РАВНА ИЛИ ПРЕВЫШАЕТ 500 ТЫС. РУБЛЕЙ</w:t>
      </w:r>
      <w:r w:rsidRPr="00FF4CBF">
        <w:rPr>
          <w:rStyle w:val="a5"/>
          <w:rFonts w:ascii="Times New Roman" w:hAnsi="Times New Roman"/>
          <w:b/>
          <w:sz w:val="24"/>
          <w:szCs w:val="24"/>
          <w:lang w:eastAsia="ru-RU"/>
        </w:rPr>
        <w:footnoteReference w:id="1"/>
      </w:r>
    </w:p>
    <w:p w:rsidR="00EF651B" w:rsidRPr="00FF4CBF" w:rsidRDefault="00EF651B" w:rsidP="00356E01">
      <w:pPr>
        <w:autoSpaceDE w:val="0"/>
        <w:autoSpaceDN w:val="0"/>
        <w:spacing w:before="120" w:after="120" w:line="240" w:lineRule="auto"/>
        <w:jc w:val="center"/>
        <w:rPr>
          <w:rFonts w:ascii="Times New Roman" w:hAnsi="Times New Roman"/>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1. Реестровый номер государственного имущества (РНГИ)</w:t>
      </w:r>
    </w:p>
    <w:tbl>
      <w:tblPr>
        <w:tblStyle w:val="a6"/>
        <w:tblW w:w="9776" w:type="dxa"/>
        <w:tblLook w:val="04A0" w:firstRow="1" w:lastRow="0" w:firstColumn="1" w:lastColumn="0" w:noHBand="0" w:noVBand="1"/>
      </w:tblPr>
      <w:tblGrid>
        <w:gridCol w:w="846"/>
        <w:gridCol w:w="2852"/>
        <w:gridCol w:w="6078"/>
      </w:tblGrid>
      <w:tr w:rsidR="00EF651B" w:rsidRPr="00FF4CBF" w:rsidTr="00350E42">
        <w:tc>
          <w:tcPr>
            <w:tcW w:w="846"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1.1.</w:t>
            </w:r>
          </w:p>
        </w:tc>
        <w:tc>
          <w:tcPr>
            <w:tcW w:w="2852"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Дата</w:t>
            </w:r>
          </w:p>
        </w:tc>
        <w:tc>
          <w:tcPr>
            <w:tcW w:w="6078" w:type="dxa"/>
          </w:tcPr>
          <w:p w:rsidR="00EF651B" w:rsidRPr="00FF4CBF" w:rsidRDefault="00EF651B" w:rsidP="00356E01">
            <w:pPr>
              <w:pStyle w:val="a7"/>
              <w:rPr>
                <w:rFonts w:ascii="Times New Roman" w:hAnsi="Times New Roman"/>
                <w:sz w:val="24"/>
                <w:szCs w:val="24"/>
              </w:rPr>
            </w:pPr>
          </w:p>
        </w:tc>
      </w:tr>
      <w:tr w:rsidR="00EF651B" w:rsidRPr="00FF4CBF" w:rsidTr="00350E42">
        <w:tc>
          <w:tcPr>
            <w:tcW w:w="846"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1.2.</w:t>
            </w:r>
          </w:p>
        </w:tc>
        <w:tc>
          <w:tcPr>
            <w:tcW w:w="2852"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 xml:space="preserve">Номер </w:t>
            </w:r>
          </w:p>
        </w:tc>
        <w:tc>
          <w:tcPr>
            <w:tcW w:w="6078" w:type="dxa"/>
          </w:tcPr>
          <w:p w:rsidR="00EF651B" w:rsidRPr="00FF4CBF" w:rsidRDefault="00EF651B" w:rsidP="00356E01">
            <w:pPr>
              <w:pStyle w:val="a7"/>
              <w:rPr>
                <w:rFonts w:ascii="Times New Roman" w:hAnsi="Times New Roman"/>
                <w:sz w:val="24"/>
                <w:szCs w:val="24"/>
              </w:rPr>
            </w:pPr>
          </w:p>
        </w:tc>
      </w:tr>
    </w:tbl>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2. Характеристики объекта движимого имущества</w:t>
      </w: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tbl>
      <w:tblPr>
        <w:tblStyle w:val="a6"/>
        <w:tblW w:w="0" w:type="auto"/>
        <w:tblLook w:val="04A0" w:firstRow="1" w:lastRow="0" w:firstColumn="1" w:lastColumn="0" w:noHBand="0" w:noVBand="1"/>
      </w:tblPr>
      <w:tblGrid>
        <w:gridCol w:w="846"/>
        <w:gridCol w:w="3797"/>
        <w:gridCol w:w="2220"/>
        <w:gridCol w:w="2913"/>
      </w:tblGrid>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2.1.</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Вид</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2.2.</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Наименование</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2.3.</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Государственный регистрационный номер</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2.4.</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Идентификационный номер (</w:t>
            </w:r>
            <w:r w:rsidRPr="00FF4CBF">
              <w:rPr>
                <w:rFonts w:ascii="Times New Roman" w:hAnsi="Times New Roman"/>
                <w:sz w:val="24"/>
                <w:szCs w:val="24"/>
                <w:lang w:val="en-US"/>
              </w:rPr>
              <w:t>VIN</w:t>
            </w:r>
            <w:r w:rsidRPr="00FF4CBF">
              <w:rPr>
                <w:rFonts w:ascii="Times New Roman" w:hAnsi="Times New Roman"/>
                <w:sz w:val="24"/>
                <w:szCs w:val="24"/>
              </w:rPr>
              <w:t>)</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2.5.</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Инвентарный номер</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rPr>
          <w:trHeight w:val="828"/>
        </w:trPr>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p>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2.6.</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Отнесение к категории особо ценного движимого имущества (ОЦДИ)</w:t>
            </w:r>
          </w:p>
        </w:tc>
        <w:tc>
          <w:tcPr>
            <w:tcW w:w="5133" w:type="dxa"/>
            <w:gridSpan w:val="2"/>
          </w:tcPr>
          <w:p w:rsidR="00EF651B" w:rsidRPr="00FF4CBF" w:rsidRDefault="00EF651B" w:rsidP="00356E01">
            <w:pPr>
              <w:autoSpaceDE w:val="0"/>
              <w:autoSpaceDN w:val="0"/>
              <w:jc w:val="both"/>
              <w:rPr>
                <w:rFonts w:ascii="Times New Roman" w:hAnsi="Times New Roman"/>
                <w:sz w:val="24"/>
                <w:szCs w:val="24"/>
              </w:rPr>
            </w:pPr>
          </w:p>
        </w:tc>
      </w:tr>
      <w:tr w:rsidR="00EF651B" w:rsidRPr="00FF4CBF" w:rsidTr="00350E42">
        <w:tc>
          <w:tcPr>
            <w:tcW w:w="846" w:type="dxa"/>
            <w:vMerge w:val="restart"/>
          </w:tcPr>
          <w:p w:rsidR="00EF651B" w:rsidRPr="00FF4CBF" w:rsidRDefault="00EF651B" w:rsidP="00356E01">
            <w:pPr>
              <w:autoSpaceDE w:val="0"/>
              <w:autoSpaceDN w:val="0"/>
              <w:spacing w:after="0" w:line="240" w:lineRule="auto"/>
              <w:jc w:val="both"/>
              <w:rPr>
                <w:rFonts w:ascii="Times New Roman" w:hAnsi="Times New Roman"/>
                <w:sz w:val="24"/>
                <w:szCs w:val="24"/>
              </w:rPr>
            </w:pPr>
          </w:p>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2.7.</w:t>
            </w:r>
          </w:p>
        </w:tc>
        <w:tc>
          <w:tcPr>
            <w:tcW w:w="3797" w:type="dxa"/>
            <w:vMerge w:val="restart"/>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Реквизиты документа о внесении в перечень ОЦДИ</w:t>
            </w:r>
          </w:p>
        </w:tc>
        <w:tc>
          <w:tcPr>
            <w:tcW w:w="2220"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w:t>
            </w:r>
          </w:p>
        </w:tc>
        <w:tc>
          <w:tcPr>
            <w:tcW w:w="2913"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vMerge/>
          </w:tcPr>
          <w:p w:rsidR="00EF651B" w:rsidRPr="00FF4CBF" w:rsidRDefault="00EF651B" w:rsidP="00356E01">
            <w:pPr>
              <w:autoSpaceDE w:val="0"/>
              <w:autoSpaceDN w:val="0"/>
              <w:spacing w:after="0" w:line="240" w:lineRule="auto"/>
              <w:jc w:val="both"/>
              <w:rPr>
                <w:rFonts w:ascii="Times New Roman" w:hAnsi="Times New Roman"/>
                <w:sz w:val="24"/>
                <w:szCs w:val="24"/>
              </w:rPr>
            </w:pPr>
          </w:p>
        </w:tc>
        <w:tc>
          <w:tcPr>
            <w:tcW w:w="3797" w:type="dxa"/>
            <w:vMerge/>
          </w:tcPr>
          <w:p w:rsidR="00EF651B" w:rsidRPr="00FF4CBF" w:rsidRDefault="00EF651B" w:rsidP="00356E01">
            <w:pPr>
              <w:autoSpaceDE w:val="0"/>
              <w:autoSpaceDN w:val="0"/>
              <w:spacing w:after="0" w:line="240" w:lineRule="auto"/>
              <w:jc w:val="both"/>
              <w:rPr>
                <w:rFonts w:ascii="Times New Roman" w:hAnsi="Times New Roman"/>
                <w:sz w:val="24"/>
                <w:szCs w:val="24"/>
              </w:rPr>
            </w:pPr>
          </w:p>
        </w:tc>
        <w:tc>
          <w:tcPr>
            <w:tcW w:w="2220"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Номер</w:t>
            </w:r>
          </w:p>
        </w:tc>
        <w:tc>
          <w:tcPr>
            <w:tcW w:w="2913"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vMerge/>
          </w:tcPr>
          <w:p w:rsidR="00EF651B" w:rsidRPr="00FF4CBF" w:rsidRDefault="00EF651B" w:rsidP="00356E01">
            <w:pPr>
              <w:autoSpaceDE w:val="0"/>
              <w:autoSpaceDN w:val="0"/>
              <w:spacing w:after="0" w:line="240" w:lineRule="auto"/>
              <w:jc w:val="both"/>
              <w:rPr>
                <w:rFonts w:ascii="Times New Roman" w:hAnsi="Times New Roman"/>
                <w:sz w:val="24"/>
                <w:szCs w:val="24"/>
              </w:rPr>
            </w:pPr>
          </w:p>
        </w:tc>
        <w:tc>
          <w:tcPr>
            <w:tcW w:w="3797" w:type="dxa"/>
            <w:vMerge/>
          </w:tcPr>
          <w:p w:rsidR="00EF651B" w:rsidRPr="00FF4CBF" w:rsidRDefault="00EF651B" w:rsidP="00356E01">
            <w:pPr>
              <w:autoSpaceDE w:val="0"/>
              <w:autoSpaceDN w:val="0"/>
              <w:spacing w:after="0" w:line="240" w:lineRule="auto"/>
              <w:jc w:val="both"/>
              <w:rPr>
                <w:rFonts w:ascii="Times New Roman" w:hAnsi="Times New Roman"/>
                <w:sz w:val="24"/>
                <w:szCs w:val="24"/>
              </w:rPr>
            </w:pPr>
          </w:p>
        </w:tc>
        <w:tc>
          <w:tcPr>
            <w:tcW w:w="2220"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Принявший орган</w:t>
            </w:r>
          </w:p>
        </w:tc>
        <w:tc>
          <w:tcPr>
            <w:tcW w:w="2913"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2.8.</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Марка, модель</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2.9.</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Год выпуска</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2.10.</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Назначение</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2.11.</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Первоначальная стоимость, руб.</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2.12.</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Балансовая (остаточная) стоимость, руб.</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2.13.</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Инвентарный номер</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2.14.</w:t>
            </w:r>
          </w:p>
        </w:tc>
        <w:tc>
          <w:tcPr>
            <w:tcW w:w="3797"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Дата ввода в эксплуатацию</w:t>
            </w:r>
          </w:p>
        </w:tc>
        <w:tc>
          <w:tcPr>
            <w:tcW w:w="5133" w:type="dxa"/>
            <w:gridSpan w:val="2"/>
          </w:tcPr>
          <w:p w:rsidR="00EF651B" w:rsidRPr="00FF4CBF" w:rsidRDefault="00EF651B" w:rsidP="00356E01">
            <w:pPr>
              <w:autoSpaceDE w:val="0"/>
              <w:autoSpaceDN w:val="0"/>
              <w:spacing w:after="0" w:line="240" w:lineRule="auto"/>
              <w:jc w:val="both"/>
              <w:rPr>
                <w:rFonts w:ascii="Times New Roman" w:hAnsi="Times New Roman"/>
                <w:sz w:val="24"/>
                <w:szCs w:val="24"/>
              </w:rPr>
            </w:pPr>
          </w:p>
        </w:tc>
      </w:tr>
    </w:tbl>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3. Правообладатель государственного имущества Республики Дагестан</w:t>
      </w:r>
    </w:p>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p>
    <w:tbl>
      <w:tblPr>
        <w:tblStyle w:val="a6"/>
        <w:tblW w:w="0" w:type="auto"/>
        <w:tblLook w:val="04A0" w:firstRow="1" w:lastRow="0" w:firstColumn="1" w:lastColumn="0" w:noHBand="0" w:noVBand="1"/>
      </w:tblPr>
      <w:tblGrid>
        <w:gridCol w:w="846"/>
        <w:gridCol w:w="3846"/>
        <w:gridCol w:w="5084"/>
      </w:tblGrid>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3.1.</w:t>
            </w:r>
          </w:p>
        </w:tc>
        <w:tc>
          <w:tcPr>
            <w:tcW w:w="3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Наименование</w:t>
            </w:r>
          </w:p>
        </w:tc>
        <w:tc>
          <w:tcPr>
            <w:tcW w:w="5084"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3.2.</w:t>
            </w:r>
          </w:p>
        </w:tc>
        <w:tc>
          <w:tcPr>
            <w:tcW w:w="3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ОГРН/ИНН</w:t>
            </w:r>
          </w:p>
        </w:tc>
        <w:tc>
          <w:tcPr>
            <w:tcW w:w="5084"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3.3.</w:t>
            </w:r>
          </w:p>
        </w:tc>
        <w:tc>
          <w:tcPr>
            <w:tcW w:w="3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РНГИ</w:t>
            </w:r>
          </w:p>
        </w:tc>
        <w:tc>
          <w:tcPr>
            <w:tcW w:w="5084"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3.4.</w:t>
            </w:r>
          </w:p>
        </w:tc>
        <w:tc>
          <w:tcPr>
            <w:tcW w:w="3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Вид права</w:t>
            </w:r>
          </w:p>
        </w:tc>
        <w:tc>
          <w:tcPr>
            <w:tcW w:w="5084"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3.5.</w:t>
            </w:r>
          </w:p>
        </w:tc>
        <w:tc>
          <w:tcPr>
            <w:tcW w:w="3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Документы-основания возникновения права</w:t>
            </w:r>
          </w:p>
        </w:tc>
        <w:tc>
          <w:tcPr>
            <w:tcW w:w="5084"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bl>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4. Отнесение к объектам культурного наследия</w:t>
      </w: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tbl>
      <w:tblPr>
        <w:tblStyle w:val="a6"/>
        <w:tblW w:w="0" w:type="auto"/>
        <w:tblLook w:val="04A0" w:firstRow="1" w:lastRow="0" w:firstColumn="1" w:lastColumn="0" w:noHBand="0" w:noVBand="1"/>
      </w:tblPr>
      <w:tblGrid>
        <w:gridCol w:w="988"/>
        <w:gridCol w:w="4110"/>
        <w:gridCol w:w="4678"/>
      </w:tblGrid>
      <w:tr w:rsidR="00EF651B" w:rsidRPr="00FF4CBF" w:rsidTr="00350E42">
        <w:tc>
          <w:tcPr>
            <w:tcW w:w="988"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4.1.</w:t>
            </w:r>
          </w:p>
        </w:tc>
        <w:tc>
          <w:tcPr>
            <w:tcW w:w="4110"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Является объектом культурного наследия</w:t>
            </w:r>
          </w:p>
        </w:tc>
        <w:tc>
          <w:tcPr>
            <w:tcW w:w="4678"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988"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4.2.</w:t>
            </w:r>
          </w:p>
        </w:tc>
        <w:tc>
          <w:tcPr>
            <w:tcW w:w="4110"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Документы основания признания объектом культурного наследия</w:t>
            </w:r>
          </w:p>
        </w:tc>
        <w:tc>
          <w:tcPr>
            <w:tcW w:w="4678"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bl>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5. Характеристики объекта культурного наследия</w:t>
      </w: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tbl>
      <w:tblPr>
        <w:tblStyle w:val="a6"/>
        <w:tblW w:w="0" w:type="auto"/>
        <w:tblLook w:val="04A0" w:firstRow="1" w:lastRow="0" w:firstColumn="1" w:lastColumn="0" w:noHBand="0" w:noVBand="1"/>
      </w:tblPr>
      <w:tblGrid>
        <w:gridCol w:w="846"/>
        <w:gridCol w:w="3846"/>
        <w:gridCol w:w="5084"/>
      </w:tblGrid>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5.1.</w:t>
            </w:r>
          </w:p>
        </w:tc>
        <w:tc>
          <w:tcPr>
            <w:tcW w:w="3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Вид</w:t>
            </w:r>
          </w:p>
        </w:tc>
        <w:tc>
          <w:tcPr>
            <w:tcW w:w="5084"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5.2.</w:t>
            </w:r>
          </w:p>
        </w:tc>
        <w:tc>
          <w:tcPr>
            <w:tcW w:w="3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Категория</w:t>
            </w:r>
          </w:p>
        </w:tc>
        <w:tc>
          <w:tcPr>
            <w:tcW w:w="5084"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r w:rsidR="00EF651B" w:rsidRPr="00FF4CBF" w:rsidTr="00350E42">
        <w:tc>
          <w:tcPr>
            <w:tcW w:w="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5.3.</w:t>
            </w:r>
          </w:p>
        </w:tc>
        <w:tc>
          <w:tcPr>
            <w:tcW w:w="3846" w:type="dxa"/>
          </w:tcPr>
          <w:p w:rsidR="00EF651B" w:rsidRPr="00FF4CBF" w:rsidRDefault="00EF651B" w:rsidP="00356E01">
            <w:pPr>
              <w:autoSpaceDE w:val="0"/>
              <w:autoSpaceDN w:val="0"/>
              <w:spacing w:after="0" w:line="240" w:lineRule="auto"/>
              <w:jc w:val="both"/>
              <w:rPr>
                <w:rFonts w:ascii="Times New Roman" w:hAnsi="Times New Roman"/>
                <w:sz w:val="24"/>
                <w:szCs w:val="24"/>
              </w:rPr>
            </w:pPr>
            <w:r w:rsidRPr="00FF4CBF">
              <w:rPr>
                <w:rFonts w:ascii="Times New Roman" w:hAnsi="Times New Roman"/>
                <w:sz w:val="24"/>
                <w:szCs w:val="24"/>
              </w:rPr>
              <w:t>Регистрационный номер объекта культурного наследия</w:t>
            </w:r>
          </w:p>
        </w:tc>
        <w:tc>
          <w:tcPr>
            <w:tcW w:w="5084" w:type="dxa"/>
          </w:tcPr>
          <w:p w:rsidR="00EF651B" w:rsidRPr="00FF4CBF" w:rsidRDefault="00EF651B" w:rsidP="00356E01">
            <w:pPr>
              <w:autoSpaceDE w:val="0"/>
              <w:autoSpaceDN w:val="0"/>
              <w:spacing w:after="0" w:line="240" w:lineRule="auto"/>
              <w:jc w:val="both"/>
              <w:rPr>
                <w:rFonts w:ascii="Times New Roman" w:hAnsi="Times New Roman"/>
                <w:sz w:val="24"/>
                <w:szCs w:val="24"/>
              </w:rPr>
            </w:pPr>
          </w:p>
        </w:tc>
      </w:tr>
    </w:tbl>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6. Сведения об оборотоспособности </w:t>
      </w: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tbl>
      <w:tblPr>
        <w:tblStyle w:val="a6"/>
        <w:tblW w:w="0" w:type="auto"/>
        <w:tblLook w:val="04A0" w:firstRow="1" w:lastRow="0" w:firstColumn="1" w:lastColumn="0" w:noHBand="0" w:noVBand="1"/>
      </w:tblPr>
      <w:tblGrid>
        <w:gridCol w:w="846"/>
        <w:gridCol w:w="4111"/>
        <w:gridCol w:w="4819"/>
      </w:tblGrid>
      <w:tr w:rsidR="00EF651B" w:rsidRPr="00FF4CBF" w:rsidTr="00350E42">
        <w:tc>
          <w:tcPr>
            <w:tcW w:w="846"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6.1.</w:t>
            </w:r>
          </w:p>
        </w:tc>
        <w:tc>
          <w:tcPr>
            <w:tcW w:w="4111"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Ограничен в обороте</w:t>
            </w:r>
          </w:p>
        </w:tc>
        <w:tc>
          <w:tcPr>
            <w:tcW w:w="4819" w:type="dxa"/>
          </w:tcPr>
          <w:p w:rsidR="00EF651B" w:rsidRPr="00FF4CBF" w:rsidRDefault="00EF651B" w:rsidP="00356E01">
            <w:pPr>
              <w:pStyle w:val="a7"/>
              <w:rPr>
                <w:rFonts w:ascii="Times New Roman" w:hAnsi="Times New Roman"/>
                <w:sz w:val="24"/>
                <w:szCs w:val="24"/>
              </w:rPr>
            </w:pPr>
          </w:p>
        </w:tc>
      </w:tr>
      <w:tr w:rsidR="00EF651B" w:rsidRPr="00FF4CBF" w:rsidTr="00350E42">
        <w:tc>
          <w:tcPr>
            <w:tcW w:w="846"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6.1.1.</w:t>
            </w:r>
          </w:p>
        </w:tc>
        <w:tc>
          <w:tcPr>
            <w:tcW w:w="4111"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Документы-основания ограничения в обороте</w:t>
            </w:r>
          </w:p>
        </w:tc>
        <w:tc>
          <w:tcPr>
            <w:tcW w:w="4819" w:type="dxa"/>
          </w:tcPr>
          <w:p w:rsidR="00EF651B" w:rsidRPr="00FF4CBF" w:rsidRDefault="00EF651B" w:rsidP="00356E01">
            <w:pPr>
              <w:pStyle w:val="a7"/>
              <w:rPr>
                <w:rFonts w:ascii="Times New Roman" w:hAnsi="Times New Roman"/>
                <w:sz w:val="24"/>
                <w:szCs w:val="24"/>
              </w:rPr>
            </w:pPr>
          </w:p>
        </w:tc>
      </w:tr>
    </w:tbl>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p>
    <w:p w:rsidR="00EF651B" w:rsidRPr="00FF4CBF" w:rsidRDefault="00EF651B" w:rsidP="00356E01">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EF651B" w:rsidRPr="00FF4CBF" w:rsidRDefault="00EF651B" w:rsidP="00356E01">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2"/>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EF651B" w:rsidRPr="00FF4CBF" w:rsidTr="00350E42">
        <w:tc>
          <w:tcPr>
            <w:tcW w:w="3799"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r>
      <w:tr w:rsidR="00EF651B" w:rsidRPr="00FF4CBF" w:rsidTr="00350E42">
        <w:tc>
          <w:tcPr>
            <w:tcW w:w="3799"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b/>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sectPr w:rsidR="00EF651B" w:rsidRPr="00FF4CBF" w:rsidSect="00356E01">
          <w:headerReference w:type="default" r:id="rId7"/>
          <w:pgSz w:w="11906" w:h="16838"/>
          <w:pgMar w:top="1438" w:right="850" w:bottom="1134" w:left="1134" w:header="708" w:footer="708" w:gutter="0"/>
          <w:cols w:space="708"/>
          <w:titlePg/>
          <w:docGrid w:linePitch="360"/>
        </w:sectPr>
      </w:pP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2. Сведения о движимом и ином имуществе</w:t>
      </w:r>
    </w:p>
    <w:p w:rsidR="00EF651B" w:rsidRPr="00FF4CBF" w:rsidRDefault="00EF651B" w:rsidP="00356E01">
      <w:pPr>
        <w:autoSpaceDE w:val="0"/>
        <w:autoSpaceDN w:val="0"/>
        <w:spacing w:after="180" w:line="240" w:lineRule="auto"/>
        <w:jc w:val="both"/>
        <w:rPr>
          <w:rFonts w:ascii="Times New Roman" w:hAnsi="Times New Roman"/>
          <w:sz w:val="24"/>
          <w:szCs w:val="24"/>
          <w:lang w:eastAsia="ru-RU"/>
        </w:rPr>
      </w:pPr>
      <w:r w:rsidRPr="00FF4CBF">
        <w:rPr>
          <w:rFonts w:ascii="Times New Roman" w:hAnsi="Times New Roman"/>
          <w:sz w:val="24"/>
          <w:szCs w:val="24"/>
          <w:lang w:eastAsia="ru-RU"/>
        </w:rPr>
        <w:t xml:space="preserve">Подраздел 2.1. Сведения о движимом имуществе, первоначальная стоимость которого равна или превышает 500 тыс. рублей, и особо ценном движимом имуществе, </w:t>
      </w:r>
      <w:r w:rsidRPr="00FF4CBF">
        <w:rPr>
          <w:rFonts w:ascii="Times New Roman" w:hAnsi="Times New Roman"/>
          <w:snapToGrid w:val="0"/>
          <w:sz w:val="24"/>
          <w:szCs w:val="24"/>
          <w:lang w:eastAsia="ru-RU"/>
        </w:rPr>
        <w:t xml:space="preserve">первоначальная стоимость которого равна или превышает </w:t>
      </w:r>
      <w:r>
        <w:rPr>
          <w:rFonts w:ascii="Times New Roman" w:hAnsi="Times New Roman"/>
          <w:snapToGrid w:val="0"/>
          <w:sz w:val="24"/>
          <w:szCs w:val="24"/>
          <w:lang w:eastAsia="ru-RU"/>
        </w:rPr>
        <w:t>50</w:t>
      </w:r>
      <w:r w:rsidRPr="00FF4CBF">
        <w:rPr>
          <w:rFonts w:ascii="Times New Roman" w:hAnsi="Times New Roman"/>
          <w:snapToGrid w:val="0"/>
          <w:sz w:val="24"/>
          <w:szCs w:val="24"/>
          <w:lang w:eastAsia="ru-RU"/>
        </w:rPr>
        <w:t xml:space="preserve"> тыс. рублей, и об ином имуществе</w:t>
      </w: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 xml:space="preserve">Приложение № 1 к карте </w:t>
      </w: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 2.1.</w:t>
      </w:r>
      <w:r w:rsidRPr="00FF4CBF">
        <w:rPr>
          <w:rFonts w:ascii="Times New Roman" w:hAnsi="Times New Roman"/>
          <w:sz w:val="24"/>
          <w:szCs w:val="24"/>
          <w:lang w:eastAsia="ru-RU"/>
        </w:rPr>
        <w:tab/>
      </w:r>
    </w:p>
    <w:p w:rsidR="00EF651B" w:rsidRPr="00FF4CBF" w:rsidRDefault="00EF651B" w:rsidP="00356E01">
      <w:pPr>
        <w:tabs>
          <w:tab w:val="center" w:pos="9412"/>
        </w:tabs>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EF651B" w:rsidRPr="00FF4CBF" w:rsidRDefault="00EF651B" w:rsidP="00356E01">
      <w:pPr>
        <w:tabs>
          <w:tab w:val="center" w:pos="9412"/>
        </w:tabs>
        <w:autoSpaceDE w:val="0"/>
        <w:autoSpaceDN w:val="0"/>
        <w:spacing w:after="0" w:line="240" w:lineRule="auto"/>
        <w:jc w:val="both"/>
        <w:rPr>
          <w:rFonts w:ascii="Times New Roman" w:hAnsi="Times New Roman"/>
          <w:sz w:val="24"/>
          <w:szCs w:val="24"/>
          <w:lang w:eastAsia="ru-RU"/>
        </w:rPr>
      </w:pPr>
    </w:p>
    <w:p w:rsidR="00EF651B" w:rsidRPr="00FF4CBF" w:rsidRDefault="00EF651B" w:rsidP="00356E01">
      <w:pPr>
        <w:autoSpaceDE w:val="0"/>
        <w:autoSpaceDN w:val="0"/>
        <w:spacing w:before="240" w:after="360" w:line="240" w:lineRule="auto"/>
        <w:jc w:val="center"/>
        <w:rPr>
          <w:rFonts w:ascii="Times New Roman" w:hAnsi="Times New Roman"/>
          <w:caps/>
          <w:sz w:val="24"/>
          <w:szCs w:val="24"/>
          <w:lang w:eastAsia="ru-RU"/>
        </w:rPr>
      </w:pPr>
      <w:r w:rsidRPr="00FF4CBF">
        <w:rPr>
          <w:rFonts w:ascii="Times New Roman" w:hAnsi="Times New Roman"/>
          <w:caps/>
          <w:sz w:val="24"/>
          <w:szCs w:val="24"/>
          <w:lang w:eastAsia="ru-RU"/>
        </w:rPr>
        <w:t>Ограничение (обременение)</w:t>
      </w:r>
    </w:p>
    <w:tbl>
      <w:tblPr>
        <w:tblStyle w:val="a6"/>
        <w:tblW w:w="9918" w:type="dxa"/>
        <w:tblLook w:val="04A0" w:firstRow="1" w:lastRow="0" w:firstColumn="1" w:lastColumn="0" w:noHBand="0" w:noVBand="1"/>
      </w:tblPr>
      <w:tblGrid>
        <w:gridCol w:w="988"/>
        <w:gridCol w:w="2994"/>
        <w:gridCol w:w="2614"/>
        <w:gridCol w:w="3322"/>
      </w:tblGrid>
      <w:tr w:rsidR="00EF651B" w:rsidRPr="00FF4CBF" w:rsidTr="00350E42">
        <w:tc>
          <w:tcPr>
            <w:tcW w:w="988"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1.</w:t>
            </w:r>
          </w:p>
        </w:tc>
        <w:tc>
          <w:tcPr>
            <w:tcW w:w="2994"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Вид ограничения (обременения)</w:t>
            </w:r>
          </w:p>
        </w:tc>
        <w:tc>
          <w:tcPr>
            <w:tcW w:w="5936" w:type="dxa"/>
            <w:gridSpan w:val="2"/>
          </w:tcPr>
          <w:p w:rsidR="00EF651B" w:rsidRPr="00FF4CBF" w:rsidRDefault="00EF651B" w:rsidP="00356E01">
            <w:pPr>
              <w:pStyle w:val="a7"/>
              <w:rPr>
                <w:rFonts w:ascii="Times New Roman" w:hAnsi="Times New Roman"/>
                <w:sz w:val="24"/>
                <w:szCs w:val="24"/>
              </w:rPr>
            </w:pPr>
          </w:p>
        </w:tc>
      </w:tr>
      <w:tr w:rsidR="00EF651B" w:rsidRPr="00FF4CBF" w:rsidTr="00350E42">
        <w:tc>
          <w:tcPr>
            <w:tcW w:w="988"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2.</w:t>
            </w:r>
          </w:p>
        </w:tc>
        <w:tc>
          <w:tcPr>
            <w:tcW w:w="2994"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Документы-основания установления ограничения (обременения)</w:t>
            </w:r>
          </w:p>
        </w:tc>
        <w:tc>
          <w:tcPr>
            <w:tcW w:w="5936" w:type="dxa"/>
            <w:gridSpan w:val="2"/>
          </w:tcPr>
          <w:p w:rsidR="00EF651B" w:rsidRPr="00FF4CBF" w:rsidRDefault="00EF651B" w:rsidP="00356E01">
            <w:pPr>
              <w:pStyle w:val="a7"/>
              <w:rPr>
                <w:rFonts w:ascii="Times New Roman" w:hAnsi="Times New Roman"/>
                <w:sz w:val="24"/>
                <w:szCs w:val="24"/>
              </w:rPr>
            </w:pPr>
          </w:p>
        </w:tc>
      </w:tr>
      <w:tr w:rsidR="00EF651B" w:rsidRPr="00FF4CBF" w:rsidTr="00350E42">
        <w:tc>
          <w:tcPr>
            <w:tcW w:w="988"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3.</w:t>
            </w:r>
          </w:p>
        </w:tc>
        <w:tc>
          <w:tcPr>
            <w:tcW w:w="2994"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Дата возникновения</w:t>
            </w:r>
          </w:p>
        </w:tc>
        <w:tc>
          <w:tcPr>
            <w:tcW w:w="5936" w:type="dxa"/>
            <w:gridSpan w:val="2"/>
          </w:tcPr>
          <w:p w:rsidR="00EF651B" w:rsidRPr="00FF4CBF" w:rsidRDefault="00EF651B" w:rsidP="00356E01">
            <w:pPr>
              <w:pStyle w:val="a7"/>
              <w:rPr>
                <w:rFonts w:ascii="Times New Roman" w:hAnsi="Times New Roman"/>
                <w:sz w:val="24"/>
                <w:szCs w:val="24"/>
              </w:rPr>
            </w:pPr>
          </w:p>
        </w:tc>
      </w:tr>
      <w:tr w:rsidR="00EF651B" w:rsidRPr="00FF4CBF" w:rsidTr="00350E42">
        <w:tc>
          <w:tcPr>
            <w:tcW w:w="988"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4.</w:t>
            </w:r>
          </w:p>
        </w:tc>
        <w:tc>
          <w:tcPr>
            <w:tcW w:w="2994"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Дата прекращения</w:t>
            </w:r>
          </w:p>
        </w:tc>
        <w:tc>
          <w:tcPr>
            <w:tcW w:w="5936" w:type="dxa"/>
            <w:gridSpan w:val="2"/>
          </w:tcPr>
          <w:p w:rsidR="00EF651B" w:rsidRPr="00FF4CBF" w:rsidRDefault="00EF651B" w:rsidP="00356E01">
            <w:pPr>
              <w:pStyle w:val="a7"/>
              <w:rPr>
                <w:rFonts w:ascii="Times New Roman" w:hAnsi="Times New Roman"/>
                <w:sz w:val="24"/>
                <w:szCs w:val="24"/>
              </w:rPr>
            </w:pPr>
          </w:p>
        </w:tc>
      </w:tr>
      <w:tr w:rsidR="00EF651B" w:rsidRPr="00FF4CBF" w:rsidTr="00350E42">
        <w:tc>
          <w:tcPr>
            <w:tcW w:w="988" w:type="dxa"/>
            <w:vMerge w:val="restart"/>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5.</w:t>
            </w:r>
          </w:p>
        </w:tc>
        <w:tc>
          <w:tcPr>
            <w:tcW w:w="2994" w:type="dxa"/>
            <w:vMerge w:val="restart"/>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Лицо, в пользу которого установлено ограничение (обременение)</w:t>
            </w:r>
          </w:p>
        </w:tc>
        <w:tc>
          <w:tcPr>
            <w:tcW w:w="2614"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Полное наименование</w:t>
            </w:r>
          </w:p>
        </w:tc>
        <w:tc>
          <w:tcPr>
            <w:tcW w:w="3322" w:type="dxa"/>
          </w:tcPr>
          <w:p w:rsidR="00EF651B" w:rsidRPr="00FF4CBF" w:rsidRDefault="00EF651B" w:rsidP="00356E01">
            <w:pPr>
              <w:pStyle w:val="a7"/>
              <w:rPr>
                <w:rFonts w:ascii="Times New Roman" w:hAnsi="Times New Roman"/>
                <w:sz w:val="24"/>
                <w:szCs w:val="24"/>
              </w:rPr>
            </w:pPr>
          </w:p>
        </w:tc>
      </w:tr>
      <w:tr w:rsidR="00EF651B" w:rsidRPr="00FF4CBF" w:rsidTr="00350E42">
        <w:tc>
          <w:tcPr>
            <w:tcW w:w="988" w:type="dxa"/>
            <w:vMerge/>
          </w:tcPr>
          <w:p w:rsidR="00EF651B" w:rsidRPr="00FF4CBF" w:rsidRDefault="00EF651B" w:rsidP="00356E01">
            <w:pPr>
              <w:pStyle w:val="a7"/>
              <w:rPr>
                <w:rFonts w:ascii="Times New Roman" w:hAnsi="Times New Roman"/>
                <w:sz w:val="24"/>
                <w:szCs w:val="24"/>
              </w:rPr>
            </w:pPr>
          </w:p>
        </w:tc>
        <w:tc>
          <w:tcPr>
            <w:tcW w:w="2994" w:type="dxa"/>
            <w:vMerge/>
          </w:tcPr>
          <w:p w:rsidR="00EF651B" w:rsidRPr="00FF4CBF" w:rsidRDefault="00EF651B" w:rsidP="00356E01">
            <w:pPr>
              <w:pStyle w:val="a7"/>
              <w:rPr>
                <w:rFonts w:ascii="Times New Roman" w:hAnsi="Times New Roman"/>
                <w:sz w:val="24"/>
                <w:szCs w:val="24"/>
              </w:rPr>
            </w:pPr>
          </w:p>
        </w:tc>
        <w:tc>
          <w:tcPr>
            <w:tcW w:w="2614"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ОГРН/ИНН</w:t>
            </w:r>
          </w:p>
        </w:tc>
        <w:tc>
          <w:tcPr>
            <w:tcW w:w="3322" w:type="dxa"/>
          </w:tcPr>
          <w:p w:rsidR="00EF651B" w:rsidRPr="00FF4CBF" w:rsidRDefault="00EF651B" w:rsidP="00356E01">
            <w:pPr>
              <w:pStyle w:val="a7"/>
              <w:rPr>
                <w:rFonts w:ascii="Times New Roman" w:hAnsi="Times New Roman"/>
                <w:sz w:val="24"/>
                <w:szCs w:val="24"/>
              </w:rPr>
            </w:pPr>
          </w:p>
        </w:tc>
      </w:tr>
    </w:tbl>
    <w:p w:rsidR="00EF651B" w:rsidRPr="00FF4CBF" w:rsidRDefault="00EF651B" w:rsidP="00356E01">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EF651B" w:rsidRPr="00FF4CBF" w:rsidRDefault="00EF651B" w:rsidP="00356E01">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3"/>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EF651B" w:rsidRPr="00FF4CBF" w:rsidTr="00350E42">
        <w:tc>
          <w:tcPr>
            <w:tcW w:w="3799"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r>
      <w:tr w:rsidR="00EF651B" w:rsidRPr="00FF4CBF" w:rsidTr="00350E42">
        <w:tc>
          <w:tcPr>
            <w:tcW w:w="3799"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EF651B" w:rsidRPr="00FF4CBF" w:rsidRDefault="00EF651B" w:rsidP="00356E01">
      <w:pPr>
        <w:autoSpaceDE w:val="0"/>
        <w:autoSpaceDN w:val="0"/>
        <w:spacing w:after="0" w:line="240" w:lineRule="auto"/>
        <w:jc w:val="both"/>
        <w:rPr>
          <w:rFonts w:ascii="Times New Roman" w:hAnsi="Times New Roman"/>
          <w:sz w:val="24"/>
          <w:szCs w:val="24"/>
          <w:lang w:eastAsia="ru-RU"/>
        </w:rPr>
        <w:sectPr w:rsidR="00EF651B" w:rsidRPr="00FF4CBF" w:rsidSect="00356E01">
          <w:pgSz w:w="11906" w:h="16838"/>
          <w:pgMar w:top="1438" w:right="850" w:bottom="1134" w:left="1134" w:header="708" w:footer="708" w:gutter="0"/>
          <w:cols w:space="708"/>
          <w:titlePg/>
          <w:docGrid w:linePitch="360"/>
        </w:sectPr>
      </w:pP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2. Сведения о движимом и ином имуществе</w:t>
      </w:r>
    </w:p>
    <w:p w:rsidR="00EF651B" w:rsidRPr="00FF4CBF" w:rsidRDefault="00EF651B" w:rsidP="00356E01">
      <w:pPr>
        <w:autoSpaceDE w:val="0"/>
        <w:autoSpaceDN w:val="0"/>
        <w:spacing w:after="180" w:line="240" w:lineRule="auto"/>
        <w:jc w:val="both"/>
        <w:rPr>
          <w:rFonts w:ascii="Times New Roman" w:hAnsi="Times New Roman"/>
          <w:sz w:val="24"/>
          <w:szCs w:val="24"/>
          <w:lang w:eastAsia="ru-RU"/>
        </w:rPr>
      </w:pPr>
      <w:r w:rsidRPr="00FF4CBF">
        <w:rPr>
          <w:rFonts w:ascii="Times New Roman" w:hAnsi="Times New Roman"/>
          <w:sz w:val="24"/>
          <w:szCs w:val="24"/>
          <w:lang w:eastAsia="ru-RU"/>
        </w:rPr>
        <w:t xml:space="preserve">Подраздел 2.1. Сведения о движимом имуществе, первоначальная стоимость которого равна или превышает 500 тыс. рублей, и особо ценном движимом имуществе, </w:t>
      </w:r>
      <w:r w:rsidRPr="00FF4CBF">
        <w:rPr>
          <w:rFonts w:ascii="Times New Roman" w:hAnsi="Times New Roman"/>
          <w:snapToGrid w:val="0"/>
          <w:sz w:val="24"/>
          <w:szCs w:val="24"/>
          <w:lang w:eastAsia="ru-RU"/>
        </w:rPr>
        <w:t xml:space="preserve">первоначальная стоимость которого равна или превышает </w:t>
      </w:r>
      <w:r>
        <w:rPr>
          <w:rFonts w:ascii="Times New Roman" w:hAnsi="Times New Roman"/>
          <w:snapToGrid w:val="0"/>
          <w:sz w:val="24"/>
          <w:szCs w:val="24"/>
          <w:lang w:eastAsia="ru-RU"/>
        </w:rPr>
        <w:t>50</w:t>
      </w:r>
      <w:r w:rsidRPr="00FF4CBF">
        <w:rPr>
          <w:rFonts w:ascii="Times New Roman" w:hAnsi="Times New Roman"/>
          <w:snapToGrid w:val="0"/>
          <w:sz w:val="24"/>
          <w:szCs w:val="24"/>
          <w:lang w:eastAsia="ru-RU"/>
        </w:rPr>
        <w:t xml:space="preserve"> тыс. рублей, и об ином имуществе</w:t>
      </w: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 xml:space="preserve">Приложение № 2 к карте </w:t>
      </w: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 2.1.</w:t>
      </w:r>
      <w:r w:rsidRPr="00FF4CBF">
        <w:rPr>
          <w:rFonts w:ascii="Times New Roman" w:hAnsi="Times New Roman"/>
          <w:sz w:val="24"/>
          <w:szCs w:val="24"/>
          <w:lang w:eastAsia="ru-RU"/>
        </w:rPr>
        <w:tab/>
      </w:r>
    </w:p>
    <w:p w:rsidR="00EF651B" w:rsidRPr="00FF4CBF" w:rsidRDefault="00EF651B" w:rsidP="00356E01">
      <w:pPr>
        <w:tabs>
          <w:tab w:val="center" w:pos="9412"/>
        </w:tabs>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EF651B" w:rsidRPr="00FF4CBF" w:rsidRDefault="00EF651B" w:rsidP="00356E01">
      <w:pPr>
        <w:tabs>
          <w:tab w:val="center" w:pos="9412"/>
        </w:tabs>
        <w:autoSpaceDE w:val="0"/>
        <w:autoSpaceDN w:val="0"/>
        <w:spacing w:after="0" w:line="240" w:lineRule="auto"/>
        <w:jc w:val="both"/>
        <w:rPr>
          <w:rFonts w:ascii="Times New Roman" w:hAnsi="Times New Roman"/>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СВЕДЕНИЯ О СТРАХОВАНИИ ОБЪЕКТА НЕДВИЖИМОСТИ</w:t>
      </w: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tbl>
      <w:tblPr>
        <w:tblStyle w:val="a6"/>
        <w:tblW w:w="9776" w:type="dxa"/>
        <w:tblLook w:val="04A0" w:firstRow="1" w:lastRow="0" w:firstColumn="1" w:lastColumn="0" w:noHBand="0" w:noVBand="1"/>
      </w:tblPr>
      <w:tblGrid>
        <w:gridCol w:w="846"/>
        <w:gridCol w:w="4111"/>
        <w:gridCol w:w="1965"/>
        <w:gridCol w:w="2854"/>
      </w:tblGrid>
      <w:tr w:rsidR="00EF651B" w:rsidRPr="00FF4CBF" w:rsidTr="00350E42">
        <w:tc>
          <w:tcPr>
            <w:tcW w:w="846" w:type="dxa"/>
            <w:vMerge w:val="restart"/>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1.</w:t>
            </w:r>
          </w:p>
        </w:tc>
        <w:tc>
          <w:tcPr>
            <w:tcW w:w="4111" w:type="dxa"/>
            <w:vMerge w:val="restart"/>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 xml:space="preserve">Реквизиты договора страхования </w:t>
            </w:r>
          </w:p>
        </w:tc>
        <w:tc>
          <w:tcPr>
            <w:tcW w:w="1965"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Дата</w:t>
            </w:r>
          </w:p>
        </w:tc>
        <w:tc>
          <w:tcPr>
            <w:tcW w:w="2854" w:type="dxa"/>
          </w:tcPr>
          <w:p w:rsidR="00EF651B" w:rsidRPr="00FF4CBF" w:rsidRDefault="00EF651B" w:rsidP="00356E01">
            <w:pPr>
              <w:pStyle w:val="a7"/>
              <w:rPr>
                <w:rFonts w:ascii="Times New Roman" w:hAnsi="Times New Roman"/>
                <w:sz w:val="24"/>
                <w:szCs w:val="24"/>
              </w:rPr>
            </w:pPr>
          </w:p>
        </w:tc>
      </w:tr>
      <w:tr w:rsidR="00EF651B" w:rsidRPr="00FF4CBF" w:rsidTr="00350E42">
        <w:tc>
          <w:tcPr>
            <w:tcW w:w="846" w:type="dxa"/>
            <w:vMerge/>
          </w:tcPr>
          <w:p w:rsidR="00EF651B" w:rsidRPr="00FF4CBF" w:rsidRDefault="00EF651B" w:rsidP="00356E01">
            <w:pPr>
              <w:pStyle w:val="a7"/>
              <w:rPr>
                <w:rFonts w:ascii="Times New Roman" w:hAnsi="Times New Roman"/>
                <w:sz w:val="24"/>
                <w:szCs w:val="24"/>
              </w:rPr>
            </w:pPr>
          </w:p>
        </w:tc>
        <w:tc>
          <w:tcPr>
            <w:tcW w:w="4111" w:type="dxa"/>
            <w:vMerge/>
          </w:tcPr>
          <w:p w:rsidR="00EF651B" w:rsidRPr="00FF4CBF" w:rsidRDefault="00EF651B" w:rsidP="00356E01">
            <w:pPr>
              <w:pStyle w:val="a7"/>
              <w:rPr>
                <w:rFonts w:ascii="Times New Roman" w:hAnsi="Times New Roman"/>
                <w:sz w:val="24"/>
                <w:szCs w:val="24"/>
              </w:rPr>
            </w:pPr>
          </w:p>
        </w:tc>
        <w:tc>
          <w:tcPr>
            <w:tcW w:w="1965"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Номер</w:t>
            </w:r>
          </w:p>
        </w:tc>
        <w:tc>
          <w:tcPr>
            <w:tcW w:w="2854" w:type="dxa"/>
          </w:tcPr>
          <w:p w:rsidR="00EF651B" w:rsidRPr="00FF4CBF" w:rsidRDefault="00EF651B" w:rsidP="00356E01">
            <w:pPr>
              <w:pStyle w:val="a7"/>
              <w:rPr>
                <w:rFonts w:ascii="Times New Roman" w:hAnsi="Times New Roman"/>
                <w:sz w:val="24"/>
                <w:szCs w:val="24"/>
              </w:rPr>
            </w:pPr>
          </w:p>
        </w:tc>
      </w:tr>
      <w:tr w:rsidR="00EF651B" w:rsidRPr="00FF4CBF" w:rsidTr="00350E42">
        <w:tc>
          <w:tcPr>
            <w:tcW w:w="846"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2.</w:t>
            </w:r>
          </w:p>
        </w:tc>
        <w:tc>
          <w:tcPr>
            <w:tcW w:w="4111"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Вид договора</w:t>
            </w:r>
          </w:p>
        </w:tc>
        <w:tc>
          <w:tcPr>
            <w:tcW w:w="4819" w:type="dxa"/>
            <w:gridSpan w:val="2"/>
          </w:tcPr>
          <w:p w:rsidR="00EF651B" w:rsidRPr="00FF4CBF" w:rsidRDefault="00EF651B" w:rsidP="00356E01">
            <w:pPr>
              <w:pStyle w:val="a7"/>
              <w:rPr>
                <w:rFonts w:ascii="Times New Roman" w:hAnsi="Times New Roman"/>
                <w:sz w:val="24"/>
                <w:szCs w:val="24"/>
              </w:rPr>
            </w:pPr>
          </w:p>
        </w:tc>
      </w:tr>
      <w:tr w:rsidR="00EF651B" w:rsidRPr="00FF4CBF" w:rsidTr="00350E42">
        <w:tc>
          <w:tcPr>
            <w:tcW w:w="846" w:type="dxa"/>
            <w:vMerge w:val="restart"/>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3.</w:t>
            </w:r>
          </w:p>
        </w:tc>
        <w:tc>
          <w:tcPr>
            <w:tcW w:w="4111" w:type="dxa"/>
            <w:vMerge w:val="restart"/>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Страховщик</w:t>
            </w:r>
          </w:p>
        </w:tc>
        <w:tc>
          <w:tcPr>
            <w:tcW w:w="1965"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Наименование</w:t>
            </w:r>
          </w:p>
        </w:tc>
        <w:tc>
          <w:tcPr>
            <w:tcW w:w="2854" w:type="dxa"/>
          </w:tcPr>
          <w:p w:rsidR="00EF651B" w:rsidRPr="00FF4CBF" w:rsidRDefault="00EF651B" w:rsidP="00356E01">
            <w:pPr>
              <w:pStyle w:val="a7"/>
              <w:rPr>
                <w:rFonts w:ascii="Times New Roman" w:hAnsi="Times New Roman"/>
                <w:sz w:val="24"/>
                <w:szCs w:val="24"/>
              </w:rPr>
            </w:pPr>
          </w:p>
        </w:tc>
      </w:tr>
      <w:tr w:rsidR="00EF651B" w:rsidRPr="00FF4CBF" w:rsidTr="00350E42">
        <w:tc>
          <w:tcPr>
            <w:tcW w:w="846" w:type="dxa"/>
            <w:vMerge/>
          </w:tcPr>
          <w:p w:rsidR="00EF651B" w:rsidRPr="00FF4CBF" w:rsidRDefault="00EF651B" w:rsidP="00356E01">
            <w:pPr>
              <w:pStyle w:val="a7"/>
              <w:rPr>
                <w:rFonts w:ascii="Times New Roman" w:hAnsi="Times New Roman"/>
                <w:sz w:val="24"/>
                <w:szCs w:val="24"/>
              </w:rPr>
            </w:pPr>
          </w:p>
        </w:tc>
        <w:tc>
          <w:tcPr>
            <w:tcW w:w="4111" w:type="dxa"/>
            <w:vMerge/>
          </w:tcPr>
          <w:p w:rsidR="00EF651B" w:rsidRPr="00FF4CBF" w:rsidRDefault="00EF651B" w:rsidP="00356E01">
            <w:pPr>
              <w:pStyle w:val="a7"/>
              <w:rPr>
                <w:rFonts w:ascii="Times New Roman" w:hAnsi="Times New Roman"/>
                <w:sz w:val="24"/>
                <w:szCs w:val="24"/>
              </w:rPr>
            </w:pPr>
          </w:p>
        </w:tc>
        <w:tc>
          <w:tcPr>
            <w:tcW w:w="1965"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ОГРН</w:t>
            </w:r>
          </w:p>
        </w:tc>
        <w:tc>
          <w:tcPr>
            <w:tcW w:w="2854" w:type="dxa"/>
          </w:tcPr>
          <w:p w:rsidR="00EF651B" w:rsidRPr="00FF4CBF" w:rsidRDefault="00EF651B" w:rsidP="00356E01">
            <w:pPr>
              <w:pStyle w:val="a7"/>
              <w:rPr>
                <w:rFonts w:ascii="Times New Roman" w:hAnsi="Times New Roman"/>
                <w:sz w:val="24"/>
                <w:szCs w:val="24"/>
              </w:rPr>
            </w:pPr>
          </w:p>
        </w:tc>
      </w:tr>
      <w:tr w:rsidR="00EF651B" w:rsidRPr="00FF4CBF" w:rsidTr="00350E42">
        <w:tc>
          <w:tcPr>
            <w:tcW w:w="846"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4.</w:t>
            </w:r>
          </w:p>
        </w:tc>
        <w:tc>
          <w:tcPr>
            <w:tcW w:w="4111"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Размер страховой суммы, руб.</w:t>
            </w:r>
          </w:p>
        </w:tc>
        <w:tc>
          <w:tcPr>
            <w:tcW w:w="4819" w:type="dxa"/>
            <w:gridSpan w:val="2"/>
          </w:tcPr>
          <w:p w:rsidR="00EF651B" w:rsidRPr="00FF4CBF" w:rsidRDefault="00EF651B" w:rsidP="00356E01">
            <w:pPr>
              <w:pStyle w:val="a7"/>
              <w:rPr>
                <w:rFonts w:ascii="Times New Roman" w:hAnsi="Times New Roman"/>
                <w:sz w:val="24"/>
                <w:szCs w:val="24"/>
              </w:rPr>
            </w:pPr>
          </w:p>
        </w:tc>
      </w:tr>
      <w:tr w:rsidR="00EF651B" w:rsidRPr="00FF4CBF" w:rsidTr="00350E42">
        <w:tc>
          <w:tcPr>
            <w:tcW w:w="846"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5.</w:t>
            </w:r>
          </w:p>
        </w:tc>
        <w:tc>
          <w:tcPr>
            <w:tcW w:w="4111"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Размер страховой премии, руб.</w:t>
            </w:r>
          </w:p>
        </w:tc>
        <w:tc>
          <w:tcPr>
            <w:tcW w:w="4819" w:type="dxa"/>
            <w:gridSpan w:val="2"/>
          </w:tcPr>
          <w:p w:rsidR="00EF651B" w:rsidRPr="00FF4CBF" w:rsidRDefault="00EF651B" w:rsidP="00356E01">
            <w:pPr>
              <w:pStyle w:val="a7"/>
              <w:rPr>
                <w:rFonts w:ascii="Times New Roman" w:hAnsi="Times New Roman"/>
                <w:sz w:val="24"/>
                <w:szCs w:val="24"/>
              </w:rPr>
            </w:pPr>
          </w:p>
        </w:tc>
      </w:tr>
      <w:tr w:rsidR="00EF651B" w:rsidRPr="00FF4CBF" w:rsidTr="00350E42">
        <w:tc>
          <w:tcPr>
            <w:tcW w:w="846"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6.</w:t>
            </w:r>
          </w:p>
        </w:tc>
        <w:tc>
          <w:tcPr>
            <w:tcW w:w="4111" w:type="dxa"/>
          </w:tcPr>
          <w:p w:rsidR="00EF651B" w:rsidRPr="00FF4CBF" w:rsidRDefault="00EF651B" w:rsidP="00356E01">
            <w:pPr>
              <w:pStyle w:val="a7"/>
              <w:rPr>
                <w:rFonts w:ascii="Times New Roman" w:hAnsi="Times New Roman"/>
                <w:sz w:val="24"/>
                <w:szCs w:val="24"/>
              </w:rPr>
            </w:pPr>
            <w:r w:rsidRPr="00FF4CBF">
              <w:rPr>
                <w:rFonts w:ascii="Times New Roman" w:hAnsi="Times New Roman"/>
                <w:sz w:val="24"/>
                <w:szCs w:val="24"/>
              </w:rPr>
              <w:t>Срок действия договора</w:t>
            </w:r>
          </w:p>
        </w:tc>
        <w:tc>
          <w:tcPr>
            <w:tcW w:w="4819" w:type="dxa"/>
            <w:gridSpan w:val="2"/>
          </w:tcPr>
          <w:p w:rsidR="00EF651B" w:rsidRPr="00FF4CBF" w:rsidRDefault="00EF651B" w:rsidP="00356E01">
            <w:pPr>
              <w:pStyle w:val="a7"/>
              <w:rPr>
                <w:rFonts w:ascii="Times New Roman" w:hAnsi="Times New Roman"/>
                <w:sz w:val="24"/>
                <w:szCs w:val="24"/>
              </w:rPr>
            </w:pPr>
          </w:p>
        </w:tc>
      </w:tr>
    </w:tbl>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p w:rsidR="00EF651B" w:rsidRPr="00FF4CBF" w:rsidRDefault="00EF651B" w:rsidP="00356E01">
      <w:pPr>
        <w:pStyle w:val="a7"/>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EF651B" w:rsidRPr="00FF4CBF" w:rsidRDefault="00EF651B" w:rsidP="00356E01">
      <w:pPr>
        <w:pStyle w:val="a7"/>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5"/>
          <w:rFonts w:ascii="Times New Roman" w:hAnsi="Times New Roman"/>
          <w:sz w:val="24"/>
          <w:szCs w:val="24"/>
          <w:lang w:eastAsia="ru-RU"/>
        </w:rPr>
        <w:footnoteReference w:id="4"/>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EF651B" w:rsidRPr="00FF4CBF" w:rsidTr="00350E42">
        <w:tc>
          <w:tcPr>
            <w:tcW w:w="3799"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r>
      <w:tr w:rsidR="00EF651B" w:rsidRPr="00FF4CBF" w:rsidTr="00350E42">
        <w:tc>
          <w:tcPr>
            <w:tcW w:w="3799"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EF651B" w:rsidRPr="00FF4CBF" w:rsidRDefault="00EF651B" w:rsidP="00356E01">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p w:rsidR="00EF651B" w:rsidRPr="00FF4CBF" w:rsidRDefault="00EF651B" w:rsidP="00356E01">
      <w:pPr>
        <w:autoSpaceDE w:val="0"/>
        <w:autoSpaceDN w:val="0"/>
        <w:spacing w:after="0" w:line="240" w:lineRule="auto"/>
        <w:jc w:val="both"/>
        <w:rPr>
          <w:rFonts w:ascii="Times New Roman" w:hAnsi="Times New Roman"/>
          <w:sz w:val="24"/>
          <w:szCs w:val="24"/>
          <w:lang w:eastAsia="ru-RU"/>
        </w:rPr>
      </w:pPr>
    </w:p>
    <w:p w:rsidR="001067C1" w:rsidRDefault="001067C1" w:rsidP="00356E01"/>
    <w:p w:rsidR="00356E01" w:rsidRDefault="00356E01" w:rsidP="00356E01"/>
    <w:p w:rsidR="00356E01" w:rsidRDefault="00356E01" w:rsidP="00356E01"/>
    <w:p w:rsidR="00356E01" w:rsidRDefault="00356E01" w:rsidP="00356E01"/>
    <w:p w:rsidR="00356E01" w:rsidRDefault="00356E01" w:rsidP="00356E01"/>
    <w:p w:rsidR="00356E01" w:rsidRDefault="00356E01" w:rsidP="00356E01"/>
    <w:p w:rsidR="00356E01" w:rsidRDefault="00356E01" w:rsidP="00356E01"/>
    <w:p w:rsidR="00356E01" w:rsidRDefault="00356E01" w:rsidP="00356E01"/>
    <w:p w:rsidR="00356E01" w:rsidRDefault="00356E01" w:rsidP="00356E01"/>
    <w:p w:rsidR="00C56DD2" w:rsidRDefault="00C56DD2" w:rsidP="00356E01">
      <w:pPr>
        <w:pStyle w:val="ConsPlusNormal"/>
        <w:jc w:val="center"/>
        <w:rPr>
          <w:rFonts w:ascii="Times New Roman" w:hAnsi="Times New Roman" w:cs="Times New Roman"/>
          <w:sz w:val="28"/>
          <w:szCs w:val="28"/>
        </w:rPr>
      </w:pPr>
    </w:p>
    <w:p w:rsidR="00C56DD2" w:rsidRDefault="00C56DD2" w:rsidP="00356E01">
      <w:pPr>
        <w:pStyle w:val="ConsPlusNormal"/>
        <w:jc w:val="center"/>
        <w:rPr>
          <w:rFonts w:ascii="Times New Roman" w:hAnsi="Times New Roman" w:cs="Times New Roman"/>
          <w:sz w:val="28"/>
          <w:szCs w:val="28"/>
        </w:rPr>
      </w:pPr>
    </w:p>
    <w:p w:rsidR="00356E01" w:rsidRPr="005E4923" w:rsidRDefault="00356E01" w:rsidP="00356E01">
      <w:pPr>
        <w:pStyle w:val="ConsPlusNormal"/>
        <w:jc w:val="center"/>
        <w:outlineLvl w:val="2"/>
        <w:rPr>
          <w:rFonts w:ascii="Times New Roman" w:hAnsi="Times New Roman" w:cs="Times New Roman"/>
          <w:sz w:val="24"/>
          <w:szCs w:val="24"/>
        </w:rPr>
      </w:pPr>
      <w:bookmarkStart w:id="1" w:name="P5274"/>
      <w:bookmarkStart w:id="2" w:name="P5278"/>
      <w:bookmarkEnd w:id="1"/>
      <w:bookmarkEnd w:id="2"/>
      <w:r w:rsidRPr="005E4923">
        <w:rPr>
          <w:rFonts w:ascii="Times New Roman" w:hAnsi="Times New Roman" w:cs="Times New Roman"/>
          <w:sz w:val="24"/>
          <w:szCs w:val="24"/>
        </w:rPr>
        <w:lastRenderedPageBreak/>
        <w:t>Общие правила заполнения форм</w:t>
      </w:r>
    </w:p>
    <w:p w:rsidR="00356E01" w:rsidRPr="00C56DD2" w:rsidRDefault="00356E01" w:rsidP="00356E01">
      <w:pPr>
        <w:pStyle w:val="ConsPlusNormal"/>
        <w:jc w:val="both"/>
        <w:rPr>
          <w:rFonts w:ascii="Times New Roman" w:hAnsi="Times New Roman" w:cs="Times New Roman"/>
          <w:sz w:val="28"/>
          <w:szCs w:val="28"/>
        </w:rPr>
      </w:pP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Заполнение формы осуществляется на русском языке.</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В случае отсутствия соответствующих сведений об объекте учета, в том числе о лицах, обладающих правами на государственное имущество Республики Дагестан и сведениями о нем, строки формы заполняются словами "нет данных".</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При заполнении граф и строк формы внесенные в них сведения об объекте учета, в том числе о лице, обладающем правами на государственное имущество Республики Дагестан и сведениями о нем, должны быть подтверждены соответствующими данными, содержащимися в первичных документах. Копии указанных документов представляются вместе с картами.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В случае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скобках).</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Все листы формы нумеруются.</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 xml:space="preserve">В случае если сведения о лицах, указанных в </w:t>
      </w:r>
      <w:hyperlink w:anchor="P5320" w:history="1">
        <w:r w:rsidRPr="005E4923">
          <w:rPr>
            <w:rFonts w:ascii="Times New Roman" w:hAnsi="Times New Roman" w:cs="Times New Roman"/>
            <w:color w:val="0000FF"/>
            <w:sz w:val="24"/>
            <w:szCs w:val="24"/>
          </w:rPr>
          <w:t>разделе 3</w:t>
        </w:r>
      </w:hyperlink>
      <w:r w:rsidRPr="005E4923">
        <w:rPr>
          <w:rFonts w:ascii="Times New Roman" w:hAnsi="Times New Roman" w:cs="Times New Roman"/>
          <w:sz w:val="24"/>
          <w:szCs w:val="24"/>
        </w:rPr>
        <w:t xml:space="preserve"> реестра, отнесены к государственной тайне, в соответствующие строки форм этого раздела вносится запись "Закрытые сведения" (за исключением строк, в которые сведения внесены под легендой).</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Каждая карта сведений об объекте учета (далее - карта) заверяется подписью руководителя (заместителя руководителя) правообладателя.</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В случае учета имущества, составляющего государственную казну Республики Дагестан, каждая карта заверяется руководителем (заместителем руководителя) Министерства.</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Копии документов, подтверждающих содержащиеся в картах сведения, заверяются нотариально или создавшими документы органами либо организациями. В иных случаях уполномоченное правообладателем лицо проставляет на копиях документов надпись "верно", прошивает их и заверяет подписью с указанием своей фамилии и инициалов и даты заверения. Аналогичным образом заверяются копии документов о расположенном за рубежом государственном имуществе Республики Дагестан, составленных на государственном (официальном) языке соответствующего государства, переведенных на русский язык и надлежащим образом удостоверенных.</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При заполнении форм используются следующие сокращенные обозначения:</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ЕГРПВС - Единый государственный реестр прав на воздушные суда и сделок с ними;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ГРГРВСРФ - Государственный реестр гражданских воздушных судов Российской Федерации;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ГРИРФ - Государственный реестр изобретений Российской Федерации;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ГРНМПТРФ - Государственный реестр наименований мест происхождения товаров Российской Федерации;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ГРПМРФ - Государственный реестр полезных моделей Российской Федерации;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ГРПОРФ - Государственный реестр промышленных образцов Российской Федерации;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ГРТЗРФ - Государственный реестр товарных знаков и знаков обслуживания Российской Федерации;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ГСР - Государственный судовой реестр;</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ЕГРОКН - единый государственный реестр объектов культурного наследия (памятников истории и культуры) народов Российской Федерации;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ЕГРН - Единый государственный реестр недвижимости;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ЕГРЮЛ - Единый государственный реестр юридических лиц;</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ЕГРИП - Единый государственный реестр индивидуальных предпринимателей;</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ИНН - идентификационный номер налогоплательщика;</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КПП - код причины постановки на учет;</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ОГРН - основной государственный регистрационный номер;</w:t>
      </w:r>
    </w:p>
    <w:p w:rsidR="00356E01"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ОГРНИП - основной государственный регистрационный номер индивидуального предпринимателя;</w:t>
      </w:r>
    </w:p>
    <w:p w:rsidR="005E4923" w:rsidRPr="005E4923" w:rsidRDefault="009037E3" w:rsidP="00356E01">
      <w:pPr>
        <w:pStyle w:val="ConsPlusNormal"/>
        <w:ind w:firstLine="540"/>
        <w:jc w:val="both"/>
        <w:rPr>
          <w:rFonts w:ascii="Times New Roman" w:hAnsi="Times New Roman" w:cs="Times New Roman"/>
          <w:sz w:val="24"/>
          <w:szCs w:val="24"/>
        </w:rPr>
      </w:pPr>
      <w:hyperlink r:id="rId8" w:history="1">
        <w:r w:rsidR="00356E01" w:rsidRPr="005E4923">
          <w:rPr>
            <w:rFonts w:ascii="Times New Roman" w:hAnsi="Times New Roman" w:cs="Times New Roman"/>
            <w:color w:val="0000FF"/>
            <w:sz w:val="24"/>
            <w:szCs w:val="24"/>
          </w:rPr>
          <w:t>ОКТМО</w:t>
        </w:r>
      </w:hyperlink>
      <w:r w:rsidR="00356E01" w:rsidRPr="005E4923">
        <w:rPr>
          <w:rFonts w:ascii="Times New Roman" w:hAnsi="Times New Roman" w:cs="Times New Roman"/>
          <w:sz w:val="24"/>
          <w:szCs w:val="24"/>
        </w:rPr>
        <w:t xml:space="preserve"> - Общероссийский классификатор территорий муниципальных образований;</w:t>
      </w:r>
    </w:p>
    <w:p w:rsidR="00356E01" w:rsidRPr="005E4923" w:rsidRDefault="009037E3" w:rsidP="00356E01">
      <w:pPr>
        <w:pStyle w:val="ConsPlusNormal"/>
        <w:ind w:firstLine="540"/>
        <w:jc w:val="both"/>
        <w:rPr>
          <w:rFonts w:ascii="Times New Roman" w:hAnsi="Times New Roman" w:cs="Times New Roman"/>
          <w:sz w:val="24"/>
          <w:szCs w:val="24"/>
        </w:rPr>
      </w:pPr>
      <w:hyperlink r:id="rId9" w:history="1">
        <w:r w:rsidR="00356E01" w:rsidRPr="005E4923">
          <w:rPr>
            <w:rFonts w:ascii="Times New Roman" w:hAnsi="Times New Roman" w:cs="Times New Roman"/>
            <w:color w:val="0000FF"/>
            <w:sz w:val="24"/>
            <w:szCs w:val="24"/>
          </w:rPr>
          <w:t>ОКВЭД</w:t>
        </w:r>
      </w:hyperlink>
      <w:r w:rsidR="00356E01" w:rsidRPr="005E4923">
        <w:rPr>
          <w:rFonts w:ascii="Times New Roman" w:hAnsi="Times New Roman" w:cs="Times New Roman"/>
          <w:sz w:val="24"/>
          <w:szCs w:val="24"/>
        </w:rPr>
        <w:t xml:space="preserve"> - Общероссийский классификатор видов экономической деятельности;</w:t>
      </w:r>
    </w:p>
    <w:p w:rsidR="00356E01" w:rsidRPr="005E4923" w:rsidRDefault="009037E3" w:rsidP="00356E01">
      <w:pPr>
        <w:pStyle w:val="ConsPlusNormal"/>
        <w:ind w:firstLine="540"/>
        <w:jc w:val="both"/>
        <w:rPr>
          <w:rFonts w:ascii="Times New Roman" w:hAnsi="Times New Roman" w:cs="Times New Roman"/>
          <w:sz w:val="24"/>
          <w:szCs w:val="24"/>
        </w:rPr>
      </w:pPr>
      <w:hyperlink r:id="rId10" w:history="1">
        <w:r w:rsidR="00356E01" w:rsidRPr="005E4923">
          <w:rPr>
            <w:rFonts w:ascii="Times New Roman" w:hAnsi="Times New Roman" w:cs="Times New Roman"/>
            <w:color w:val="0000FF"/>
            <w:sz w:val="24"/>
            <w:szCs w:val="24"/>
          </w:rPr>
          <w:t>ОКОГУ</w:t>
        </w:r>
      </w:hyperlink>
      <w:r w:rsidR="00356E01" w:rsidRPr="005E4923">
        <w:rPr>
          <w:rFonts w:ascii="Times New Roman" w:hAnsi="Times New Roman" w:cs="Times New Roman"/>
          <w:sz w:val="24"/>
          <w:szCs w:val="24"/>
        </w:rPr>
        <w:t xml:space="preserve"> - Общероссийский классификатор органов государственной власти и управления;</w:t>
      </w:r>
    </w:p>
    <w:p w:rsidR="00356E01" w:rsidRPr="005E4923" w:rsidRDefault="009037E3" w:rsidP="00356E01">
      <w:pPr>
        <w:pStyle w:val="ConsPlusNormal"/>
        <w:ind w:firstLine="540"/>
        <w:jc w:val="both"/>
        <w:rPr>
          <w:rFonts w:ascii="Times New Roman" w:hAnsi="Times New Roman" w:cs="Times New Roman"/>
          <w:sz w:val="24"/>
          <w:szCs w:val="24"/>
        </w:rPr>
      </w:pPr>
      <w:hyperlink r:id="rId11" w:history="1">
        <w:r w:rsidR="00356E01" w:rsidRPr="005E4923">
          <w:rPr>
            <w:rFonts w:ascii="Times New Roman" w:hAnsi="Times New Roman" w:cs="Times New Roman"/>
            <w:color w:val="0000FF"/>
            <w:sz w:val="24"/>
            <w:szCs w:val="24"/>
          </w:rPr>
          <w:t>ОКОПФ</w:t>
        </w:r>
      </w:hyperlink>
      <w:r w:rsidR="00356E01" w:rsidRPr="005E4923">
        <w:rPr>
          <w:rFonts w:ascii="Times New Roman" w:hAnsi="Times New Roman" w:cs="Times New Roman"/>
          <w:sz w:val="24"/>
          <w:szCs w:val="24"/>
        </w:rPr>
        <w:t xml:space="preserve"> - Общероссийский классификатор организационно-правовых форм хозяйствующих субъектов;</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ОКПО - Общероссийский классификатор предприятий, организаций;</w:t>
      </w:r>
    </w:p>
    <w:p w:rsidR="005E4923" w:rsidRPr="005E4923" w:rsidRDefault="009037E3" w:rsidP="005E4923">
      <w:pPr>
        <w:pStyle w:val="ConsPlusNormal"/>
        <w:ind w:firstLine="540"/>
        <w:jc w:val="both"/>
        <w:rPr>
          <w:rFonts w:ascii="Times New Roman" w:hAnsi="Times New Roman" w:cs="Times New Roman"/>
          <w:sz w:val="24"/>
          <w:szCs w:val="24"/>
        </w:rPr>
      </w:pPr>
      <w:hyperlink r:id="rId12" w:history="1">
        <w:r w:rsidR="00356E01" w:rsidRPr="005E4923">
          <w:rPr>
            <w:rFonts w:ascii="Times New Roman" w:hAnsi="Times New Roman" w:cs="Times New Roman"/>
            <w:color w:val="0000FF"/>
            <w:sz w:val="24"/>
            <w:szCs w:val="24"/>
          </w:rPr>
          <w:t>ОКФС</w:t>
        </w:r>
      </w:hyperlink>
      <w:r w:rsidR="00356E01" w:rsidRPr="005E4923">
        <w:rPr>
          <w:rFonts w:ascii="Times New Roman" w:hAnsi="Times New Roman" w:cs="Times New Roman"/>
          <w:sz w:val="24"/>
          <w:szCs w:val="24"/>
        </w:rPr>
        <w:t xml:space="preserve"> - Общероссийский классификатор форм собственности;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РВСАОНРФ - Реестр воздушных судов авиации общего назначения Российской Федерации;</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РМРС - Российский международный реестр судов;</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РНГИ - реестровый номер государственного имущества;</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РРТС - Реестр регистрации транспортных средств;</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РСС - реестр строящихся судов;</w:t>
      </w:r>
    </w:p>
    <w:p w:rsidR="005E4923"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РМС - реестр маломерных судов;</w:t>
      </w:r>
    </w:p>
    <w:p w:rsidR="00356E01" w:rsidRPr="005E4923" w:rsidRDefault="00356E01" w:rsidP="005E4923">
      <w:pPr>
        <w:pStyle w:val="ConsPlusNormal"/>
        <w:ind w:firstLine="540"/>
        <w:jc w:val="both"/>
        <w:rPr>
          <w:rFonts w:ascii="Times New Roman" w:hAnsi="Times New Roman" w:cs="Times New Roman"/>
          <w:sz w:val="24"/>
          <w:szCs w:val="24"/>
        </w:rPr>
      </w:pPr>
      <w:r w:rsidRPr="005E4923">
        <w:rPr>
          <w:rFonts w:ascii="Times New Roman" w:hAnsi="Times New Roman" w:cs="Times New Roman"/>
          <w:sz w:val="24"/>
          <w:szCs w:val="24"/>
        </w:rPr>
        <w:t>СРХС - Статистический регистр хозяйствующих субъектов.</w:t>
      </w:r>
    </w:p>
    <w:p w:rsidR="00356E01" w:rsidRPr="00BD1032" w:rsidRDefault="00356E01" w:rsidP="00356E01">
      <w:pPr>
        <w:pStyle w:val="ConsPlusNormal"/>
        <w:jc w:val="both"/>
        <w:rPr>
          <w:rFonts w:ascii="Times New Roman" w:hAnsi="Times New Roman" w:cs="Times New Roman"/>
          <w:sz w:val="28"/>
          <w:szCs w:val="28"/>
        </w:rPr>
      </w:pPr>
    </w:p>
    <w:p w:rsidR="00356E01" w:rsidRPr="00C56DD2" w:rsidRDefault="00356E01" w:rsidP="00356E01">
      <w:pPr>
        <w:pStyle w:val="ConsPlusNormal"/>
        <w:jc w:val="both"/>
        <w:rPr>
          <w:rFonts w:ascii="Times New Roman" w:hAnsi="Times New Roman" w:cs="Times New Roman"/>
          <w:sz w:val="28"/>
          <w:szCs w:val="28"/>
        </w:rPr>
      </w:pPr>
    </w:p>
    <w:p w:rsidR="00356E01" w:rsidRPr="00C56DD2" w:rsidRDefault="00356E01" w:rsidP="005E4923">
      <w:pPr>
        <w:pStyle w:val="ConsPlusNormal"/>
        <w:tabs>
          <w:tab w:val="left" w:pos="993"/>
        </w:tabs>
        <w:ind w:firstLine="709"/>
        <w:jc w:val="center"/>
        <w:outlineLvl w:val="2"/>
        <w:rPr>
          <w:rFonts w:ascii="Times New Roman" w:hAnsi="Times New Roman" w:cs="Times New Roman"/>
          <w:sz w:val="28"/>
          <w:szCs w:val="28"/>
        </w:rPr>
      </w:pPr>
      <w:bookmarkStart w:id="3" w:name="P5320"/>
      <w:bookmarkEnd w:id="3"/>
      <w:r w:rsidRPr="00C56DD2">
        <w:rPr>
          <w:rFonts w:ascii="Times New Roman" w:hAnsi="Times New Roman" w:cs="Times New Roman"/>
          <w:sz w:val="28"/>
          <w:szCs w:val="28"/>
        </w:rPr>
        <w:t>Заполнение форм</w:t>
      </w:r>
    </w:p>
    <w:p w:rsidR="00356E01" w:rsidRPr="005E4923" w:rsidRDefault="00356E01" w:rsidP="00C56DD2">
      <w:pPr>
        <w:pStyle w:val="ConsPlusNormal"/>
        <w:tabs>
          <w:tab w:val="left" w:pos="993"/>
        </w:tabs>
        <w:ind w:firstLine="709"/>
        <w:jc w:val="both"/>
        <w:rPr>
          <w:rFonts w:ascii="Times New Roman" w:hAnsi="Times New Roman" w:cs="Times New Roman"/>
          <w:sz w:val="24"/>
          <w:szCs w:val="24"/>
        </w:rPr>
      </w:pPr>
    </w:p>
    <w:p w:rsidR="005E4923" w:rsidRPr="00BD1032"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 xml:space="preserve">При заполнении форм карт подразделов </w:t>
      </w:r>
      <w:hyperlink w:anchor="P5274" w:history="1">
        <w:r w:rsidRPr="005E4923">
          <w:rPr>
            <w:rFonts w:ascii="Times New Roman" w:hAnsi="Times New Roman" w:cs="Times New Roman"/>
            <w:color w:val="0000FF"/>
            <w:sz w:val="24"/>
            <w:szCs w:val="24"/>
          </w:rPr>
          <w:t>разделов 1</w:t>
        </w:r>
      </w:hyperlink>
      <w:r w:rsidRPr="005E4923">
        <w:rPr>
          <w:rFonts w:ascii="Times New Roman" w:hAnsi="Times New Roman" w:cs="Times New Roman"/>
          <w:sz w:val="24"/>
          <w:szCs w:val="24"/>
        </w:rPr>
        <w:t xml:space="preserve"> и </w:t>
      </w:r>
      <w:hyperlink w:anchor="P5278" w:history="1">
        <w:r w:rsidRPr="005E4923">
          <w:rPr>
            <w:rFonts w:ascii="Times New Roman" w:hAnsi="Times New Roman" w:cs="Times New Roman"/>
            <w:color w:val="0000FF"/>
            <w:sz w:val="24"/>
            <w:szCs w:val="24"/>
          </w:rPr>
          <w:t>2</w:t>
        </w:r>
      </w:hyperlink>
      <w:r w:rsidRPr="005E4923">
        <w:rPr>
          <w:rFonts w:ascii="Times New Roman" w:hAnsi="Times New Roman" w:cs="Times New Roman"/>
          <w:sz w:val="24"/>
          <w:szCs w:val="24"/>
        </w:rPr>
        <w:t xml:space="preserve"> реестра учитывается следующее.</w:t>
      </w:r>
    </w:p>
    <w:p w:rsidR="005E4923" w:rsidRPr="00BD1032"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 xml:space="preserve">В формах </w:t>
      </w:r>
      <w:hyperlink w:anchor="P217" w:history="1">
        <w:r w:rsidRPr="005E4923">
          <w:rPr>
            <w:rFonts w:ascii="Times New Roman" w:hAnsi="Times New Roman" w:cs="Times New Roman"/>
            <w:color w:val="0000FF"/>
            <w:sz w:val="24"/>
            <w:szCs w:val="24"/>
          </w:rPr>
          <w:t xml:space="preserve">карт </w:t>
        </w:r>
      </w:hyperlink>
      <w:hyperlink w:anchor="P2017" w:history="1">
        <w:r w:rsidRPr="005E4923">
          <w:rPr>
            <w:rFonts w:ascii="Times New Roman" w:hAnsi="Times New Roman" w:cs="Times New Roman"/>
            <w:color w:val="0000FF"/>
            <w:sz w:val="24"/>
            <w:szCs w:val="24"/>
          </w:rPr>
          <w:t>2.1</w:t>
        </w:r>
      </w:hyperlink>
      <w:r w:rsidRPr="005E4923">
        <w:rPr>
          <w:rFonts w:ascii="Times New Roman" w:hAnsi="Times New Roman" w:cs="Times New Roman"/>
          <w:sz w:val="24"/>
          <w:szCs w:val="24"/>
        </w:rPr>
        <w:t xml:space="preserve"> в таблицах "Реестровый номер государственного имущества (РНГИ)" вносятся соответственно постоянный или временный реестровый номер государственного имущества, присвоенный объекту учета Министерством, и дата его присвоения. В случае первичного учета имущества в указанных строках указывается "нет данных".</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формах карт 1.1, 1.2, 1.3, 1.4, 1.5, 2.1, 2.4, 2.5 и формах приложений к картам 2.6.1, 2.6.2, 2.6.3, 2.6.4, 2.6.5, 2.6.6 в таблицах "Сведения об оборотоспособности" данные вносятся в следующем порядке:</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а) если имущество не ограничено в обороте, то в графу "Ограничен в обороте" и "Документы-основания ограничения оборота" вносятся слова "нет";</w:t>
      </w:r>
    </w:p>
    <w:p w:rsidR="005E4923" w:rsidRPr="00BD1032"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б) если имущество ограничено в обороте, то в графу "Ограничен в обороте" вносится слово "да". При этом в графу "Документы-основания ограничения оборота" вносятся основные реквизиты закона, в котором указано на ограничение оборота государственного имущества Республики Дагестан, или закона, установившего порядок, по которому имущество 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 Указанные реквизиты включают наименование, дату подписания и номер федерального закона и иного правового акта, после которых в круглых скобках указываются при наличии структурные единицы федерального закона и иного правового акта, например Федеральный закон от 21 декабря 2001 г. N 178-ФЗ "О приватизации государственного и муниципального имущества" (пункт 3 статьи 3).</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 xml:space="preserve">В приложениях N 1 к формам </w:t>
      </w:r>
      <w:hyperlink w:anchor="P2153" w:history="1">
        <w:r w:rsidRPr="005E4923">
          <w:rPr>
            <w:rFonts w:ascii="Times New Roman" w:hAnsi="Times New Roman" w:cs="Times New Roman"/>
            <w:color w:val="0000FF"/>
            <w:sz w:val="24"/>
            <w:szCs w:val="24"/>
          </w:rPr>
          <w:t>карт 2.1</w:t>
        </w:r>
      </w:hyperlink>
      <w:r w:rsidRPr="005E4923">
        <w:rPr>
          <w:rFonts w:ascii="Times New Roman" w:hAnsi="Times New Roman" w:cs="Times New Roman"/>
          <w:sz w:val="24"/>
          <w:szCs w:val="24"/>
        </w:rPr>
        <w:t xml:space="preserve"> данные вносятся в следующем порядке.</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графу "Вид ограничения (обременения)" вносятся наименование вида ограничения (обременения) вещного права на объект учета или его часть (сервитут, аренда, залог, доверительное управление или иное).</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графах "Дата возникновения" и "Дата прекращения" вносятся число, месяц и год внесения в Единый государственный реестр недвижимости или иной реестр записи о государственной регистрации соответственно возникновения и прекращения ограничения (обременения) вещного права на объект учета или его часть в соответствии с выпиской из соответствующего реестра.</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 xml:space="preserve">В графу "Документы-основания ограничения (обременения)" вносятся основные реквизиты документа (наименование, дата и номер), на основании которого установлено </w:t>
      </w:r>
      <w:r w:rsidRPr="005E4923">
        <w:rPr>
          <w:rFonts w:ascii="Times New Roman" w:hAnsi="Times New Roman" w:cs="Times New Roman"/>
          <w:sz w:val="24"/>
          <w:szCs w:val="24"/>
        </w:rPr>
        <w:lastRenderedPageBreak/>
        <w:t>ограничение (обременение) соответствующего вещного права на объект учета или его часть, и штампа регистрационной надписи на нем, если объектом учета или его частью является недвижимое имущество, например договор аренды от "____" ___________ _____ г. N _____, номер регистрационного округа _____________ и иные реквизиты штампа регистрационной надписи на нем.</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"Лицо, в пользу которого установлено ограничение (обременение)":</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строку "Полное наименование" вносятся полное наименование юридического лица или фамилия, имя и отчество индивидуального предпринимателя либо физического лица, в пользу которого зарегистрировано или установлено ограничение (обременение) в соответствии с выпиской из соответствующего реестра;</w:t>
      </w:r>
    </w:p>
    <w:p w:rsidR="005E4923" w:rsidRPr="00BD1032"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строке "ОГРН/ИНН" указывается основной государственный регистрационный номер лица согласно копиям свидетельств о государственной регистрации и индивидуальный номер налогоплательщика в соответствии со свидетельством о постановке на налоговый учет.</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 xml:space="preserve">В формах </w:t>
      </w:r>
      <w:hyperlink w:anchor="P525" w:history="1">
        <w:r w:rsidRPr="005E4923">
          <w:rPr>
            <w:rFonts w:ascii="Times New Roman" w:hAnsi="Times New Roman" w:cs="Times New Roman"/>
            <w:color w:val="0000FF"/>
            <w:sz w:val="24"/>
            <w:szCs w:val="24"/>
          </w:rPr>
          <w:t xml:space="preserve">карт </w:t>
        </w:r>
      </w:hyperlink>
      <w:hyperlink w:anchor="P2017" w:history="1">
        <w:r w:rsidRPr="005E4923">
          <w:rPr>
            <w:rFonts w:ascii="Times New Roman" w:hAnsi="Times New Roman" w:cs="Times New Roman"/>
            <w:color w:val="0000FF"/>
            <w:sz w:val="24"/>
            <w:szCs w:val="24"/>
          </w:rPr>
          <w:t>2.1</w:t>
        </w:r>
      </w:hyperlink>
      <w:r w:rsidRPr="005E4923">
        <w:rPr>
          <w:rFonts w:ascii="Times New Roman" w:hAnsi="Times New Roman" w:cs="Times New Roman"/>
          <w:sz w:val="24"/>
          <w:szCs w:val="24"/>
        </w:rPr>
        <w:t xml:space="preserve"> в таблицах "Отнесение к объектам культурного наследия" данные вносятся в следующем порядке:</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случае если объект учета является объектом культурного наследия, в графе "Является объектом культурного наследия" указывается "да", в противном случае указывается "нет".</w:t>
      </w:r>
    </w:p>
    <w:p w:rsidR="005E4923" w:rsidRPr="00BD1032"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"Документы-основания" указываются реквизиты документов, в соответствии с которыми объекты отнесены к объектами культурного наследия.</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 xml:space="preserve">В формах </w:t>
      </w:r>
      <w:hyperlink w:anchor="P525" w:history="1">
        <w:r w:rsidRPr="005E4923">
          <w:rPr>
            <w:rFonts w:ascii="Times New Roman" w:hAnsi="Times New Roman" w:cs="Times New Roman"/>
            <w:color w:val="0000FF"/>
            <w:sz w:val="24"/>
            <w:szCs w:val="24"/>
          </w:rPr>
          <w:t xml:space="preserve">карт </w:t>
        </w:r>
      </w:hyperlink>
      <w:hyperlink w:anchor="P2017" w:history="1">
        <w:r w:rsidRPr="005E4923">
          <w:rPr>
            <w:rFonts w:ascii="Times New Roman" w:hAnsi="Times New Roman" w:cs="Times New Roman"/>
            <w:color w:val="0000FF"/>
            <w:sz w:val="24"/>
            <w:szCs w:val="24"/>
          </w:rPr>
          <w:t>2.1</w:t>
        </w:r>
      </w:hyperlink>
      <w:r w:rsidRPr="005E4923">
        <w:rPr>
          <w:rFonts w:ascii="Times New Roman" w:hAnsi="Times New Roman" w:cs="Times New Roman"/>
          <w:sz w:val="24"/>
          <w:szCs w:val="24"/>
        </w:rPr>
        <w:t xml:space="preserve"> в таблицах "Характеристики объекта культурного наследия" данные вносятся в следующем порядке:</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"Вид" указывается вид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(памятник, ансамбль, достопримечательное место);</w:t>
      </w:r>
    </w:p>
    <w:p w:rsidR="005E4923" w:rsidRPr="005E4923"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"Категория" указывается "объект культурного наследия федерального значения", "объект культурного наследия регионального значения" или "объект культурного наследия местного (муниципального) значения";</w:t>
      </w:r>
    </w:p>
    <w:p w:rsidR="005E4923" w:rsidRPr="00BD1032" w:rsidRDefault="00356E01"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"Регистрационный номер объекта культурного наследия" указывается регистрационный номер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в соответствии с паспортом объекта культурного наследия.</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 xml:space="preserve">В формах приложений N 2 к </w:t>
      </w:r>
      <w:hyperlink w:anchor="P826" w:history="1">
        <w:r w:rsidRPr="005E4923">
          <w:rPr>
            <w:rFonts w:ascii="Times New Roman" w:hAnsi="Times New Roman" w:cs="Times New Roman"/>
            <w:color w:val="0000FF"/>
            <w:sz w:val="24"/>
            <w:szCs w:val="24"/>
          </w:rPr>
          <w:t xml:space="preserve">картам </w:t>
        </w:r>
      </w:hyperlink>
      <w:hyperlink w:anchor="P2197" w:history="1">
        <w:r w:rsidRPr="005E4923">
          <w:rPr>
            <w:rFonts w:ascii="Times New Roman" w:hAnsi="Times New Roman" w:cs="Times New Roman"/>
            <w:color w:val="0000FF"/>
            <w:sz w:val="24"/>
            <w:szCs w:val="24"/>
          </w:rPr>
          <w:t>2.1</w:t>
        </w:r>
      </w:hyperlink>
      <w:r w:rsidRPr="005E4923">
        <w:rPr>
          <w:rFonts w:ascii="Times New Roman" w:hAnsi="Times New Roman" w:cs="Times New Roman"/>
          <w:sz w:val="24"/>
          <w:szCs w:val="24"/>
        </w:rPr>
        <w:t xml:space="preserve"> в таблицах "Сведения о страховании объекта" данные вносятся в следующем порядке:</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"Реквизиты договора страхования":</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строке "Дата" указывается дата заключения договора в соответствии с договором страхования;</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строке "Номер" указывается номер договора в соответствии с договором страхования;</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строке "Вид договора" указывается предусмотренный Гражданским кодексом Российской Федерации вид договора в соответствии с договором страхования;</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"Страховщик":</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строке "Полное наименование" указывается полное наименование страховщика - юридического лица в соответствии с данными ЕГРЮЛ;</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строке "ОГРН" указывается основной государственный регистрационный номер страховщика - юридического лица согласно копиям свидетельств о государственной регистрации;</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"Размер страховой суммы, руб." указывается размер страховой суммы в рублях в соответствии с договором;</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"Размер страховой премии, руб." указывается размер страховой премии в рублях в соответствии с договором;</w:t>
      </w:r>
    </w:p>
    <w:p w:rsidR="005E4923" w:rsidRPr="00BD1032"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"Срок действия договора" указывается срок действия договора в соответствии с договором.</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 xml:space="preserve">В форме </w:t>
      </w:r>
      <w:hyperlink w:anchor="P2017" w:history="1">
        <w:r w:rsidRPr="005E4923">
          <w:rPr>
            <w:rFonts w:ascii="Times New Roman" w:hAnsi="Times New Roman" w:cs="Times New Roman"/>
            <w:color w:val="0000FF"/>
            <w:sz w:val="24"/>
            <w:szCs w:val="24"/>
          </w:rPr>
          <w:t>карты 2.1</w:t>
        </w:r>
      </w:hyperlink>
      <w:r w:rsidRPr="005E4923">
        <w:rPr>
          <w:rFonts w:ascii="Times New Roman" w:hAnsi="Times New Roman" w:cs="Times New Roman"/>
          <w:sz w:val="24"/>
          <w:szCs w:val="24"/>
        </w:rPr>
        <w:t xml:space="preserve"> в таблицах "Характеристики объекта движимого имущества" данные </w:t>
      </w:r>
      <w:r w:rsidRPr="005E4923">
        <w:rPr>
          <w:rFonts w:ascii="Times New Roman" w:hAnsi="Times New Roman" w:cs="Times New Roman"/>
          <w:sz w:val="24"/>
          <w:szCs w:val="24"/>
        </w:rPr>
        <w:lastRenderedPageBreak/>
        <w:t>вносятся в следующем порядке:</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"Вид" указывается вид имущества (например, автотранспортное средство, мебель, оргтехника, научное оборудование и др.);</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"Наименование" указывается наименование объекта учета в соответствии с имеющимися документами.</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графу "Идентификационный номер (VIN)" вносится идентификационный номер транспортного средства в соответствии с выпиской из Реестра регистрации транспортных средств, копией свидетельства о регистрации транспортного средства или иного документа, подтверждающего указанный номер.</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графу "Инвентарный номер" вносится инвентарный номер объекта учета в соответствии с инвентаризационной описью.</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"Отнесение к категории особо ценного движимого имущества (ОЦДИ)" указывается "да", если объект относится к особо ценному движимому имуществу в соответствии с утвержденными в установленном порядке критериями отнесения объектов к особо ценному движимому имуществу", или "нет", если не отнесен.</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"Реквизиты документа о внесении в перечень ОЦДИ" данные указываются в следующем порядке:</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строке "Дата" указывается дата принятия решения о внесении объекта учета в перечень ОЦДИ;</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строке "Номер" указывается номер решения о внесении объекта учета в перечень ОЦДИ;</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строке "Принявший орган" указывается полное наименование органа, принявшего решение о внесении объекта учета в перечень ОЦ ДИ.</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графу "Марка, модель" вносятся марка, модель транспортного средства в соответствии с выпиской из Реестра регистрации транспортных средств, копией свидетельства о регистрации или паспорта транспортного средства либо иного движимого имущества согласно документу, подтверждающему марку, модель движимого имущества.</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графу "Год выпуска" вносится год выпуска транспортного средства в соответствии с выпиской из Реестра регистрации транспортных средств, копией свидетельства о регистрации или паспорта транспортного средства либо иного движимого имущества согласно документу, подтверждающему год выпуска движимого имущества.</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"Назначение" указывается основное назначение объекта учета.</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графу "Первоначальная стоимость, руб." вносится соответственно первоначальная стоимость имущества, по которой оно поступило в собственность Республики Дагестан, согласно документам бухгалтерского учета (первичных учетных документов, регистров и др.) либо иных документов, подтверждающих указанные стоимости. Первоначальная стоимость имущества, учтенного в реестре, не может быть изменена. В случае если до учета в реестре стоимость имущества, по которой оно поступило в собственность Республики Дагестан, изменялась в результате модернизации, частичной ликвидации, переоценки или по иным установленным законодательством Российской Федерации основаниям, в строку "Стоимость: первоначальная (руб.)" вносится стоимость имущества с учетом его последней переоценки.</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"Балансовая (остаточная) стоимость, руб." указывается соответственно балансовая (остаточная) стоимость судна в соответствии с данными бухгалтерского учета на последнюю для соответствующего типа правообладателя дату отчетности.</w:t>
      </w:r>
    </w:p>
    <w:p w:rsidR="005E4923"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графу "Инвентарный номер" вносится инвентарный номер объекта учета в соответствии с инвентаризационной описью.</w:t>
      </w:r>
    </w:p>
    <w:p w:rsidR="0044195E" w:rsidRPr="005E4923" w:rsidRDefault="0044195E" w:rsidP="005E4923">
      <w:pPr>
        <w:pStyle w:val="ConsPlusNormal"/>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графу "Дата ввода в эксплуатацию" вносится год ввода в эксплуатацию объекта учета согласно акту его ввода в эксплуатацию или иному документу, подтверждающему год ввода в эксплуатацию.</w:t>
      </w:r>
    </w:p>
    <w:p w:rsidR="005E4923" w:rsidRPr="00BD1032" w:rsidRDefault="005E4923" w:rsidP="005E4923">
      <w:pPr>
        <w:pStyle w:val="ConsPlusNormal"/>
        <w:shd w:val="clear" w:color="auto" w:fill="FFFFFF" w:themeFill="background1"/>
        <w:tabs>
          <w:tab w:val="left" w:pos="993"/>
        </w:tabs>
        <w:spacing w:before="220"/>
        <w:ind w:left="709"/>
        <w:jc w:val="both"/>
        <w:rPr>
          <w:rFonts w:ascii="Times New Roman" w:hAnsi="Times New Roman" w:cs="Times New Roman"/>
          <w:sz w:val="24"/>
          <w:szCs w:val="24"/>
        </w:rPr>
      </w:pPr>
    </w:p>
    <w:p w:rsidR="0044195E" w:rsidRPr="005E4923" w:rsidRDefault="0044195E" w:rsidP="005E4923">
      <w:pPr>
        <w:pStyle w:val="ConsPlusNormal"/>
        <w:shd w:val="clear" w:color="auto" w:fill="FFFFFF" w:themeFill="background1"/>
        <w:tabs>
          <w:tab w:val="left" w:pos="993"/>
        </w:tabs>
        <w:ind w:left="709"/>
        <w:jc w:val="both"/>
        <w:rPr>
          <w:rFonts w:ascii="Times New Roman" w:hAnsi="Times New Roman" w:cs="Times New Roman"/>
          <w:sz w:val="24"/>
          <w:szCs w:val="24"/>
        </w:rPr>
      </w:pPr>
      <w:r w:rsidRPr="005E4923">
        <w:rPr>
          <w:rFonts w:ascii="Times New Roman" w:hAnsi="Times New Roman" w:cs="Times New Roman"/>
          <w:sz w:val="24"/>
          <w:szCs w:val="24"/>
        </w:rPr>
        <w:t xml:space="preserve">В формах </w:t>
      </w:r>
      <w:hyperlink w:anchor="P2017" w:history="1">
        <w:r w:rsidRPr="005E4923">
          <w:rPr>
            <w:rFonts w:ascii="Times New Roman" w:hAnsi="Times New Roman" w:cs="Times New Roman"/>
            <w:color w:val="0000FF"/>
            <w:sz w:val="24"/>
            <w:szCs w:val="24"/>
          </w:rPr>
          <w:t>карт 2.1</w:t>
        </w:r>
      </w:hyperlink>
      <w:r w:rsidRPr="005E4923">
        <w:rPr>
          <w:rFonts w:ascii="Times New Roman" w:hAnsi="Times New Roman" w:cs="Times New Roman"/>
          <w:sz w:val="24"/>
          <w:szCs w:val="24"/>
        </w:rPr>
        <w:t xml:space="preserve">в таблицах "Правообладатель государственного имущества </w:t>
      </w:r>
      <w:r w:rsidRPr="005E4923">
        <w:rPr>
          <w:rFonts w:ascii="Times New Roman" w:hAnsi="Times New Roman" w:cs="Times New Roman"/>
          <w:sz w:val="24"/>
          <w:szCs w:val="24"/>
        </w:rPr>
        <w:lastRenderedPageBreak/>
        <w:t>Республики Дагестан" данные вносятся в следующем порядке:</w:t>
      </w:r>
    </w:p>
    <w:p w:rsidR="005E4923" w:rsidRPr="005E4923" w:rsidRDefault="0044195E" w:rsidP="005E4923">
      <w:pPr>
        <w:pStyle w:val="ConsPlusNormal"/>
        <w:shd w:val="clear" w:color="auto" w:fill="FFFFFF" w:themeFill="background1"/>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5E4923" w:rsidRPr="005E4923" w:rsidRDefault="0044195E" w:rsidP="005E4923">
      <w:pPr>
        <w:pStyle w:val="ConsPlusNormal"/>
        <w:shd w:val="clear" w:color="auto" w:fill="FFFFFF" w:themeFill="background1"/>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"ОГРН/ИНН" указываются основной государственный регистрационный номер лица согласно копиям свидетельств о государственной регистрации и идентификационный номер налогоплательщика в соответствии со свидетельством о постановке на налоговый учет;</w:t>
      </w:r>
    </w:p>
    <w:p w:rsidR="005E4923" w:rsidRPr="005E4923" w:rsidRDefault="0044195E" w:rsidP="005E4923">
      <w:pPr>
        <w:pStyle w:val="ConsPlusNormal"/>
        <w:shd w:val="clear" w:color="auto" w:fill="FFFFFF" w:themeFill="background1"/>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графу "РНГИ" вносятся соответственно постоянный или временный реестровый номер правообладателя и дата его присвоения;</w:t>
      </w:r>
    </w:p>
    <w:p w:rsidR="005E4923" w:rsidRPr="005E4923" w:rsidRDefault="0044195E" w:rsidP="005E4923">
      <w:pPr>
        <w:pStyle w:val="ConsPlusNormal"/>
        <w:shd w:val="clear" w:color="auto" w:fill="FFFFFF" w:themeFill="background1"/>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"Вид права" указывается вид права правообладателя на объект учета;</w:t>
      </w:r>
    </w:p>
    <w:p w:rsidR="00356E01" w:rsidRPr="005E4923" w:rsidRDefault="0044195E" w:rsidP="005E4923">
      <w:pPr>
        <w:pStyle w:val="ConsPlusNormal"/>
        <w:shd w:val="clear" w:color="auto" w:fill="FFFFFF" w:themeFill="background1"/>
        <w:tabs>
          <w:tab w:val="left" w:pos="993"/>
        </w:tabs>
        <w:ind w:firstLine="709"/>
        <w:jc w:val="both"/>
        <w:rPr>
          <w:rFonts w:ascii="Times New Roman" w:hAnsi="Times New Roman" w:cs="Times New Roman"/>
          <w:sz w:val="24"/>
          <w:szCs w:val="24"/>
        </w:rPr>
      </w:pPr>
      <w:r w:rsidRPr="005E4923">
        <w:rPr>
          <w:rFonts w:ascii="Times New Roman" w:hAnsi="Times New Roman" w:cs="Times New Roman"/>
          <w:sz w:val="24"/>
          <w:szCs w:val="24"/>
        </w:rPr>
        <w:t>в графе "Документы-основания возникновения права" указываются реквизиты документа, на основании которого у правообладателя в отношении объекта учета возникло право (дата, номер, вид документа, полное название документа, орган, издавший документ).</w:t>
      </w:r>
    </w:p>
    <w:p w:rsidR="002B2D6F" w:rsidRPr="005E4923" w:rsidRDefault="002B2D6F" w:rsidP="005E4923">
      <w:pPr>
        <w:pStyle w:val="a7"/>
        <w:tabs>
          <w:tab w:val="left" w:pos="993"/>
        </w:tabs>
        <w:ind w:firstLine="709"/>
        <w:jc w:val="both"/>
        <w:rPr>
          <w:rFonts w:ascii="Times New Roman" w:hAnsi="Times New Roman"/>
          <w:b/>
          <w:sz w:val="24"/>
          <w:szCs w:val="24"/>
        </w:rPr>
      </w:pPr>
    </w:p>
    <w:p w:rsidR="002B2D6F" w:rsidRPr="005E4923" w:rsidRDefault="002B2D6F" w:rsidP="005E4923">
      <w:pPr>
        <w:pStyle w:val="a7"/>
        <w:tabs>
          <w:tab w:val="left" w:pos="993"/>
        </w:tabs>
        <w:ind w:firstLine="709"/>
        <w:jc w:val="center"/>
        <w:rPr>
          <w:rFonts w:ascii="Times New Roman" w:hAnsi="Times New Roman"/>
          <w:b/>
          <w:sz w:val="24"/>
          <w:szCs w:val="24"/>
        </w:rPr>
      </w:pPr>
      <w:r w:rsidRPr="005E4923">
        <w:rPr>
          <w:rFonts w:ascii="Times New Roman" w:hAnsi="Times New Roman"/>
          <w:b/>
          <w:sz w:val="24"/>
          <w:szCs w:val="24"/>
        </w:rPr>
        <w:t>В целях учета в реестре государственного имущества Республики Дагестан сведений о движимом имуществе, первоначальная стоимость которого равна или превышает 500 тыс. рублей и находящемся в собственности Республики Дагестан (далее – движимое имущество):</w:t>
      </w:r>
    </w:p>
    <w:p w:rsidR="002B2D6F" w:rsidRPr="005E4923" w:rsidRDefault="002B2D6F" w:rsidP="005E4923">
      <w:pPr>
        <w:pStyle w:val="a7"/>
        <w:tabs>
          <w:tab w:val="left" w:pos="993"/>
        </w:tabs>
        <w:ind w:firstLine="709"/>
        <w:jc w:val="both"/>
        <w:rPr>
          <w:rFonts w:ascii="Times New Roman" w:hAnsi="Times New Roman"/>
          <w:sz w:val="24"/>
          <w:szCs w:val="24"/>
        </w:rPr>
      </w:pPr>
    </w:p>
    <w:p w:rsidR="002B2D6F" w:rsidRPr="005E4923" w:rsidRDefault="002B2D6F" w:rsidP="005E4923">
      <w:pPr>
        <w:pStyle w:val="a7"/>
        <w:tabs>
          <w:tab w:val="left" w:pos="993"/>
        </w:tabs>
        <w:ind w:firstLine="709"/>
        <w:jc w:val="both"/>
        <w:rPr>
          <w:rFonts w:ascii="Times New Roman" w:hAnsi="Times New Roman"/>
          <w:sz w:val="24"/>
          <w:szCs w:val="24"/>
        </w:rPr>
      </w:pPr>
      <w:r w:rsidRPr="005E4923">
        <w:rPr>
          <w:rFonts w:ascii="Times New Roman" w:hAnsi="Times New Roman"/>
          <w:sz w:val="24"/>
          <w:szCs w:val="24"/>
        </w:rPr>
        <w:t>1) выписка из инвентаризационной описи правообладателя, содержащая сведения об инвентарном номере движимого имущества;</w:t>
      </w:r>
    </w:p>
    <w:p w:rsidR="002B2D6F" w:rsidRPr="005E4923" w:rsidRDefault="002B2D6F" w:rsidP="005E4923">
      <w:pPr>
        <w:pStyle w:val="a7"/>
        <w:tabs>
          <w:tab w:val="left" w:pos="993"/>
        </w:tabs>
        <w:ind w:firstLine="709"/>
        <w:jc w:val="both"/>
        <w:rPr>
          <w:rFonts w:ascii="Times New Roman" w:hAnsi="Times New Roman"/>
          <w:sz w:val="24"/>
          <w:szCs w:val="24"/>
        </w:rPr>
      </w:pPr>
      <w:r w:rsidRPr="005E4923">
        <w:rPr>
          <w:rFonts w:ascii="Times New Roman" w:hAnsi="Times New Roman"/>
          <w:sz w:val="24"/>
          <w:szCs w:val="24"/>
        </w:rPr>
        <w:t>2) карточка учета основных средств в отношении объекта движимого имущества;</w:t>
      </w:r>
    </w:p>
    <w:p w:rsidR="002B2D6F" w:rsidRPr="005E4923" w:rsidRDefault="002B2D6F" w:rsidP="005E4923">
      <w:pPr>
        <w:pStyle w:val="a7"/>
        <w:tabs>
          <w:tab w:val="left" w:pos="993"/>
        </w:tabs>
        <w:ind w:firstLine="709"/>
        <w:jc w:val="both"/>
        <w:rPr>
          <w:rFonts w:ascii="Times New Roman" w:hAnsi="Times New Roman"/>
          <w:sz w:val="24"/>
          <w:szCs w:val="24"/>
        </w:rPr>
      </w:pPr>
      <w:r w:rsidRPr="005E4923">
        <w:rPr>
          <w:rFonts w:ascii="Times New Roman" w:hAnsi="Times New Roman"/>
          <w:sz w:val="24"/>
          <w:szCs w:val="24"/>
        </w:rPr>
        <w:t xml:space="preserve">3) 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w:t>
      </w:r>
      <w:r w:rsidR="005E4923">
        <w:rPr>
          <w:rFonts w:ascii="Times New Roman" w:hAnsi="Times New Roman"/>
          <w:sz w:val="24"/>
          <w:szCs w:val="24"/>
          <w:lang w:val="en-US"/>
        </w:rPr>
        <w:t> </w:t>
      </w:r>
      <w:r w:rsidRPr="005E4923">
        <w:rPr>
          <w:rFonts w:ascii="Times New Roman" w:hAnsi="Times New Roman"/>
          <w:sz w:val="24"/>
          <w:szCs w:val="24"/>
        </w:rPr>
        <w:t>№ 157н</w:t>
      </w:r>
      <w:r w:rsidRPr="005E4923">
        <w:rPr>
          <w:rStyle w:val="a5"/>
          <w:rFonts w:ascii="Times New Roman" w:hAnsi="Times New Roman"/>
          <w:sz w:val="24"/>
          <w:szCs w:val="24"/>
        </w:rPr>
        <w:footnoteReference w:id="5"/>
      </w:r>
      <w:r w:rsidRPr="005E4923">
        <w:rPr>
          <w:rFonts w:ascii="Times New Roman" w:hAnsi="Times New Roman"/>
          <w:sz w:val="24"/>
          <w:szCs w:val="24"/>
        </w:rPr>
        <w:t xml:space="preserve"> (Плана счетов бухгалтерского учета финансово-хозяйственной деятельности организаций, утвержденного приказом Минфина России   </w:t>
      </w:r>
      <w:r w:rsidR="005E4923">
        <w:rPr>
          <w:rFonts w:ascii="Times New Roman" w:hAnsi="Times New Roman"/>
          <w:sz w:val="24"/>
          <w:szCs w:val="24"/>
          <w:lang w:val="en-US"/>
        </w:rPr>
        <w:t> </w:t>
      </w:r>
      <w:r w:rsidRPr="005E4923">
        <w:rPr>
          <w:rFonts w:ascii="Times New Roman" w:hAnsi="Times New Roman"/>
          <w:sz w:val="24"/>
          <w:szCs w:val="24"/>
        </w:rPr>
        <w:t xml:space="preserve">    от 31 октября 2000 г. № 94н</w:t>
      </w:r>
      <w:r w:rsidRPr="005E4923">
        <w:rPr>
          <w:rStyle w:val="a5"/>
          <w:rFonts w:ascii="Times New Roman" w:hAnsi="Times New Roman"/>
          <w:sz w:val="24"/>
          <w:szCs w:val="24"/>
        </w:rPr>
        <w:footnoteReference w:id="6"/>
      </w:r>
      <w:r w:rsidRPr="005E4923">
        <w:rPr>
          <w:rFonts w:ascii="Times New Roman" w:hAnsi="Times New Roman"/>
          <w:sz w:val="24"/>
          <w:szCs w:val="24"/>
        </w:rPr>
        <w:t>), в отношении объекта движимого имущества;</w:t>
      </w:r>
    </w:p>
    <w:p w:rsidR="002B2D6F" w:rsidRPr="005E4923" w:rsidRDefault="002B2D6F" w:rsidP="005E4923">
      <w:pPr>
        <w:pStyle w:val="a7"/>
        <w:tabs>
          <w:tab w:val="left" w:pos="993"/>
        </w:tabs>
        <w:ind w:firstLine="709"/>
        <w:jc w:val="both"/>
        <w:rPr>
          <w:rFonts w:ascii="Times New Roman" w:hAnsi="Times New Roman"/>
          <w:sz w:val="24"/>
          <w:szCs w:val="24"/>
        </w:rPr>
      </w:pPr>
      <w:r w:rsidRPr="005E4923">
        <w:rPr>
          <w:rFonts w:ascii="Times New Roman" w:hAnsi="Times New Roman"/>
          <w:sz w:val="24"/>
          <w:szCs w:val="24"/>
        </w:rPr>
        <w:t>3)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2B2D6F" w:rsidRPr="005E4923" w:rsidRDefault="002B2D6F" w:rsidP="005E4923">
      <w:pPr>
        <w:pStyle w:val="a7"/>
        <w:tabs>
          <w:tab w:val="left" w:pos="993"/>
        </w:tabs>
        <w:ind w:firstLine="709"/>
        <w:jc w:val="both"/>
        <w:rPr>
          <w:rFonts w:ascii="Times New Roman" w:hAnsi="Times New Roman"/>
          <w:sz w:val="24"/>
          <w:szCs w:val="24"/>
        </w:rPr>
      </w:pPr>
      <w:r w:rsidRPr="005E4923">
        <w:rPr>
          <w:rFonts w:ascii="Times New Roman" w:hAnsi="Times New Roman"/>
          <w:sz w:val="24"/>
          <w:szCs w:val="24"/>
        </w:rPr>
        <w:t>4) правоустанавливающие документы, на основании которых возникло право правообладателя на объект движимого имущества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движимого имущества правообладателю);</w:t>
      </w:r>
    </w:p>
    <w:p w:rsidR="002B2D6F" w:rsidRPr="005E4923" w:rsidRDefault="002B2D6F" w:rsidP="005E4923">
      <w:pPr>
        <w:pStyle w:val="a7"/>
        <w:tabs>
          <w:tab w:val="left" w:pos="993"/>
        </w:tabs>
        <w:ind w:firstLine="709"/>
        <w:jc w:val="both"/>
        <w:rPr>
          <w:rFonts w:ascii="Times New Roman" w:hAnsi="Times New Roman"/>
          <w:sz w:val="24"/>
          <w:szCs w:val="24"/>
        </w:rPr>
      </w:pPr>
      <w:r w:rsidRPr="005E4923">
        <w:rPr>
          <w:rFonts w:ascii="Times New Roman" w:hAnsi="Times New Roman"/>
          <w:sz w:val="24"/>
          <w:szCs w:val="24"/>
        </w:rPr>
        <w:t>5) документы, на основании которых движимое имущество отнесено к объектам культурного наследия.</w:t>
      </w:r>
    </w:p>
    <w:p w:rsidR="002B2D6F" w:rsidRPr="005E4923" w:rsidRDefault="002B2D6F" w:rsidP="005E4923">
      <w:pPr>
        <w:pStyle w:val="a7"/>
        <w:tabs>
          <w:tab w:val="left" w:pos="993"/>
        </w:tabs>
        <w:ind w:firstLine="709"/>
        <w:jc w:val="both"/>
        <w:rPr>
          <w:rFonts w:ascii="Times New Roman" w:hAnsi="Times New Roman"/>
          <w:sz w:val="24"/>
          <w:szCs w:val="24"/>
        </w:rPr>
      </w:pPr>
      <w:r w:rsidRPr="005E4923">
        <w:rPr>
          <w:rFonts w:ascii="Times New Roman" w:hAnsi="Times New Roman"/>
          <w:sz w:val="24"/>
          <w:szCs w:val="24"/>
        </w:rPr>
        <w:t>6) документы, на основании которых возникло и/или было установлено обременение в отношении объекта движимого имущества;</w:t>
      </w:r>
    </w:p>
    <w:p w:rsidR="002B2D6F" w:rsidRPr="005E4923" w:rsidRDefault="002B2D6F" w:rsidP="005E4923">
      <w:pPr>
        <w:pStyle w:val="a7"/>
        <w:tabs>
          <w:tab w:val="left" w:pos="993"/>
        </w:tabs>
        <w:ind w:firstLine="709"/>
        <w:jc w:val="both"/>
        <w:rPr>
          <w:rFonts w:ascii="Times New Roman" w:hAnsi="Times New Roman"/>
          <w:sz w:val="24"/>
          <w:szCs w:val="24"/>
        </w:rPr>
      </w:pPr>
      <w:r w:rsidRPr="005E4923">
        <w:rPr>
          <w:rFonts w:ascii="Times New Roman" w:hAnsi="Times New Roman"/>
          <w:sz w:val="24"/>
          <w:szCs w:val="24"/>
        </w:rPr>
        <w:t>7)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объекта движимого имущества;</w:t>
      </w:r>
    </w:p>
    <w:p w:rsidR="002B2D6F" w:rsidRPr="005E4923" w:rsidRDefault="002B2D6F" w:rsidP="005E4923">
      <w:pPr>
        <w:pStyle w:val="a7"/>
        <w:tabs>
          <w:tab w:val="left" w:pos="993"/>
        </w:tabs>
        <w:ind w:firstLine="709"/>
        <w:jc w:val="both"/>
        <w:rPr>
          <w:rFonts w:ascii="Times New Roman" w:hAnsi="Times New Roman"/>
          <w:sz w:val="24"/>
          <w:szCs w:val="24"/>
        </w:rPr>
      </w:pPr>
      <w:r w:rsidRPr="005E4923">
        <w:rPr>
          <w:rFonts w:ascii="Times New Roman" w:hAnsi="Times New Roman"/>
          <w:sz w:val="24"/>
          <w:szCs w:val="24"/>
        </w:rPr>
        <w:t>8) фотографии объекта движимого имущества;</w:t>
      </w:r>
    </w:p>
    <w:p w:rsidR="002B2D6F" w:rsidRPr="005E4923" w:rsidRDefault="002B2D6F" w:rsidP="005E4923">
      <w:pPr>
        <w:pStyle w:val="a7"/>
        <w:tabs>
          <w:tab w:val="left" w:pos="993"/>
        </w:tabs>
        <w:ind w:firstLine="709"/>
        <w:jc w:val="both"/>
        <w:rPr>
          <w:rFonts w:ascii="Times New Roman" w:hAnsi="Times New Roman"/>
          <w:sz w:val="24"/>
          <w:szCs w:val="24"/>
        </w:rPr>
      </w:pPr>
      <w:r w:rsidRPr="005E4923">
        <w:rPr>
          <w:rFonts w:ascii="Times New Roman" w:hAnsi="Times New Roman"/>
          <w:sz w:val="24"/>
          <w:szCs w:val="24"/>
        </w:rPr>
        <w:t>9) копия договора страхования объекта движимого имущества;</w:t>
      </w:r>
    </w:p>
    <w:p w:rsidR="002B2D6F" w:rsidRPr="005E4923" w:rsidRDefault="002B2D6F" w:rsidP="005E4923">
      <w:pPr>
        <w:pStyle w:val="a7"/>
        <w:tabs>
          <w:tab w:val="left" w:pos="993"/>
        </w:tabs>
        <w:ind w:firstLine="709"/>
        <w:jc w:val="both"/>
        <w:rPr>
          <w:rFonts w:ascii="Times New Roman" w:hAnsi="Times New Roman"/>
          <w:sz w:val="24"/>
          <w:szCs w:val="24"/>
        </w:rPr>
      </w:pPr>
      <w:r w:rsidRPr="005E4923">
        <w:rPr>
          <w:rFonts w:ascii="Times New Roman" w:hAnsi="Times New Roman"/>
          <w:sz w:val="24"/>
          <w:szCs w:val="24"/>
        </w:rPr>
        <w:lastRenderedPageBreak/>
        <w:t>10) выписка из Единого государственного реестра юридических лиц в отношении страховщика.</w:t>
      </w:r>
    </w:p>
    <w:p w:rsidR="0044195E" w:rsidRPr="005E4923" w:rsidRDefault="0044195E" w:rsidP="005E4923">
      <w:pPr>
        <w:pStyle w:val="ConsPlusNormal"/>
        <w:shd w:val="clear" w:color="auto" w:fill="FFFFFF" w:themeFill="background1"/>
        <w:tabs>
          <w:tab w:val="left" w:pos="993"/>
        </w:tabs>
        <w:spacing w:before="220"/>
        <w:ind w:firstLine="709"/>
        <w:jc w:val="both"/>
        <w:rPr>
          <w:sz w:val="24"/>
          <w:szCs w:val="24"/>
        </w:rPr>
      </w:pPr>
    </w:p>
    <w:p w:rsidR="00356E01" w:rsidRPr="005E4923" w:rsidRDefault="00356E01" w:rsidP="005E4923">
      <w:pPr>
        <w:tabs>
          <w:tab w:val="left" w:pos="993"/>
        </w:tabs>
        <w:spacing w:line="240" w:lineRule="auto"/>
        <w:ind w:firstLine="709"/>
        <w:rPr>
          <w:sz w:val="24"/>
          <w:szCs w:val="24"/>
        </w:rPr>
      </w:pPr>
    </w:p>
    <w:sectPr w:rsidR="00356E01" w:rsidRPr="005E4923" w:rsidSect="00356E0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7E3" w:rsidRDefault="009037E3" w:rsidP="00EF651B">
      <w:pPr>
        <w:spacing w:after="0" w:line="240" w:lineRule="auto"/>
      </w:pPr>
      <w:r>
        <w:separator/>
      </w:r>
    </w:p>
  </w:endnote>
  <w:endnote w:type="continuationSeparator" w:id="0">
    <w:p w:rsidR="009037E3" w:rsidRDefault="009037E3" w:rsidP="00EF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7E3" w:rsidRDefault="009037E3" w:rsidP="00EF651B">
      <w:pPr>
        <w:spacing w:after="0" w:line="240" w:lineRule="auto"/>
      </w:pPr>
      <w:r>
        <w:separator/>
      </w:r>
    </w:p>
  </w:footnote>
  <w:footnote w:type="continuationSeparator" w:id="0">
    <w:p w:rsidR="009037E3" w:rsidRDefault="009037E3" w:rsidP="00EF651B">
      <w:pPr>
        <w:spacing w:after="0" w:line="240" w:lineRule="auto"/>
      </w:pPr>
      <w:r>
        <w:continuationSeparator/>
      </w:r>
    </w:p>
  </w:footnote>
  <w:footnote w:id="1">
    <w:p w:rsidR="00EF651B" w:rsidRPr="00094518" w:rsidRDefault="00EF651B" w:rsidP="00EF651B">
      <w:pPr>
        <w:pStyle w:val="a3"/>
        <w:jc w:val="both"/>
      </w:pPr>
      <w:r w:rsidRPr="00094518">
        <w:rPr>
          <w:rStyle w:val="a5"/>
        </w:rPr>
        <w:footnoteRef/>
      </w:r>
      <w:r w:rsidRPr="00094518">
        <w:t xml:space="preserve"> К такому движимому имуществу не относятся акции и доли (вклады), являющиеся самостоятельными объектами учета, сведения о которых предоставляются правообладателем по формам кар подразделов 2.</w:t>
      </w:r>
      <w:r>
        <w:t>3</w:t>
      </w:r>
      <w:r w:rsidRPr="00094518">
        <w:t>. и 2.</w:t>
      </w:r>
      <w:r>
        <w:t>4</w:t>
      </w:r>
      <w:r w:rsidRPr="00094518">
        <w:t>. соответственно</w:t>
      </w:r>
    </w:p>
  </w:footnote>
  <w:footnote w:id="2">
    <w:p w:rsidR="00EF651B" w:rsidRPr="00094518" w:rsidRDefault="00EF651B" w:rsidP="00EF651B">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3">
    <w:p w:rsidR="00EF651B" w:rsidRPr="00094518" w:rsidRDefault="00EF651B" w:rsidP="00EF651B">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4">
    <w:p w:rsidR="00EF651B" w:rsidRPr="00094518" w:rsidRDefault="00EF651B" w:rsidP="00EF651B">
      <w:pPr>
        <w:pStyle w:val="a3"/>
        <w:jc w:val="both"/>
      </w:pPr>
      <w:r w:rsidRPr="00094518">
        <w:rPr>
          <w:rStyle w:val="a5"/>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5">
    <w:p w:rsidR="002B2D6F" w:rsidRPr="00CC7AFE" w:rsidRDefault="002B2D6F" w:rsidP="002B2D6F">
      <w:pPr>
        <w:pStyle w:val="a3"/>
        <w:rPr>
          <w:sz w:val="24"/>
          <w:szCs w:val="24"/>
        </w:rPr>
      </w:pPr>
      <w:r w:rsidRPr="00CC7AFE">
        <w:rPr>
          <w:rStyle w:val="a5"/>
          <w:sz w:val="24"/>
          <w:szCs w:val="24"/>
        </w:rPr>
        <w:footnoteRef/>
      </w:r>
      <w:r w:rsidRPr="00CC7AFE">
        <w:rPr>
          <w:sz w:val="24"/>
          <w:szCs w:val="24"/>
        </w:rPr>
        <w:t>Для государственный учреждений</w:t>
      </w:r>
      <w:r>
        <w:rPr>
          <w:sz w:val="24"/>
          <w:szCs w:val="24"/>
        </w:rPr>
        <w:t xml:space="preserve"> Республики Дагестан</w:t>
      </w:r>
    </w:p>
  </w:footnote>
  <w:footnote w:id="6">
    <w:p w:rsidR="002B2D6F" w:rsidRPr="00CC7AFE" w:rsidRDefault="002B2D6F" w:rsidP="002B2D6F">
      <w:pPr>
        <w:pStyle w:val="a3"/>
        <w:rPr>
          <w:sz w:val="24"/>
          <w:szCs w:val="24"/>
        </w:rPr>
      </w:pPr>
      <w:r w:rsidRPr="00CC7AFE">
        <w:rPr>
          <w:rStyle w:val="a5"/>
          <w:sz w:val="24"/>
          <w:szCs w:val="24"/>
        </w:rPr>
        <w:footnoteRef/>
      </w:r>
      <w:r w:rsidRPr="00CC7AFE">
        <w:rPr>
          <w:sz w:val="24"/>
          <w:szCs w:val="24"/>
        </w:rPr>
        <w:t xml:space="preserve"> Для государственных предприятий Республики Дагестан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641024"/>
      <w:docPartObj>
        <w:docPartGallery w:val="Page Numbers (Top of Page)"/>
        <w:docPartUnique/>
      </w:docPartObj>
    </w:sdtPr>
    <w:sdtEndPr>
      <w:rPr>
        <w:rFonts w:ascii="Times New Roman" w:hAnsi="Times New Roman"/>
        <w:sz w:val="28"/>
        <w:szCs w:val="28"/>
      </w:rPr>
    </w:sdtEndPr>
    <w:sdtContent>
      <w:p w:rsidR="00EF651B" w:rsidRPr="00EF651B" w:rsidRDefault="00324BCA">
        <w:pPr>
          <w:pStyle w:val="a8"/>
          <w:jc w:val="center"/>
          <w:rPr>
            <w:rFonts w:ascii="Times New Roman" w:hAnsi="Times New Roman"/>
            <w:sz w:val="28"/>
            <w:szCs w:val="28"/>
          </w:rPr>
        </w:pPr>
        <w:r w:rsidRPr="00EF651B">
          <w:rPr>
            <w:rFonts w:ascii="Times New Roman" w:hAnsi="Times New Roman"/>
            <w:sz w:val="28"/>
            <w:szCs w:val="28"/>
          </w:rPr>
          <w:fldChar w:fldCharType="begin"/>
        </w:r>
        <w:r w:rsidR="00EF651B" w:rsidRPr="00EF651B">
          <w:rPr>
            <w:rFonts w:ascii="Times New Roman" w:hAnsi="Times New Roman"/>
            <w:sz w:val="28"/>
            <w:szCs w:val="28"/>
          </w:rPr>
          <w:instrText xml:space="preserve"> PAGE   \* MERGEFORMAT </w:instrText>
        </w:r>
        <w:r w:rsidRPr="00EF651B">
          <w:rPr>
            <w:rFonts w:ascii="Times New Roman" w:hAnsi="Times New Roman"/>
            <w:sz w:val="28"/>
            <w:szCs w:val="28"/>
          </w:rPr>
          <w:fldChar w:fldCharType="separate"/>
        </w:r>
        <w:r w:rsidR="00BD1032">
          <w:rPr>
            <w:rFonts w:ascii="Times New Roman" w:hAnsi="Times New Roman"/>
            <w:noProof/>
            <w:sz w:val="28"/>
            <w:szCs w:val="28"/>
          </w:rPr>
          <w:t>2</w:t>
        </w:r>
        <w:r w:rsidRPr="00EF651B">
          <w:rPr>
            <w:rFonts w:ascii="Times New Roman" w:hAnsi="Times New Roman"/>
            <w:sz w:val="28"/>
            <w:szCs w:val="28"/>
          </w:rPr>
          <w:fldChar w:fldCharType="end"/>
        </w:r>
      </w:p>
    </w:sdtContent>
  </w:sdt>
  <w:p w:rsidR="00EF651B" w:rsidRDefault="00EF651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D6878"/>
    <w:multiLevelType w:val="hybridMultilevel"/>
    <w:tmpl w:val="462EBF28"/>
    <w:lvl w:ilvl="0" w:tplc="F468D98C">
      <w:start w:val="1"/>
      <w:numFmt w:val="decimal"/>
      <w:lvlText w:val="%1."/>
      <w:lvlJc w:val="left"/>
      <w:pPr>
        <w:ind w:left="900" w:hanging="360"/>
      </w:pPr>
      <w:rPr>
        <w:rFonts w:hint="default"/>
        <w:color w:val="FF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51E55BB"/>
    <w:multiLevelType w:val="hybridMultilevel"/>
    <w:tmpl w:val="3BEC1648"/>
    <w:lvl w:ilvl="0" w:tplc="163A12D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587E2F97"/>
    <w:multiLevelType w:val="hybridMultilevel"/>
    <w:tmpl w:val="03A2999C"/>
    <w:lvl w:ilvl="0" w:tplc="163A12D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6977473A"/>
    <w:multiLevelType w:val="hybridMultilevel"/>
    <w:tmpl w:val="A5789434"/>
    <w:lvl w:ilvl="0" w:tplc="163A12D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651B"/>
    <w:rsid w:val="001067C1"/>
    <w:rsid w:val="002B2D6F"/>
    <w:rsid w:val="00320B83"/>
    <w:rsid w:val="00324BCA"/>
    <w:rsid w:val="00356E01"/>
    <w:rsid w:val="0044195E"/>
    <w:rsid w:val="005E4923"/>
    <w:rsid w:val="00857DC0"/>
    <w:rsid w:val="009037E3"/>
    <w:rsid w:val="00BD1032"/>
    <w:rsid w:val="00C56DD2"/>
    <w:rsid w:val="00EE151B"/>
    <w:rsid w:val="00EF65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BD8EE"/>
  <w15:docId w15:val="{187306C0-1303-47D0-8479-C9D327AC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51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EF651B"/>
    <w:pPr>
      <w:autoSpaceDE w:val="0"/>
      <w:autoSpaceDN w:val="0"/>
      <w:spacing w:after="0" w:line="240" w:lineRule="auto"/>
    </w:pPr>
    <w:rPr>
      <w:rFonts w:ascii="Times New Roman" w:hAnsi="Times New Roman"/>
      <w:sz w:val="20"/>
      <w:szCs w:val="20"/>
      <w:lang w:eastAsia="ru-RU"/>
    </w:rPr>
  </w:style>
  <w:style w:type="character" w:customStyle="1" w:styleId="a4">
    <w:name w:val="Текст сноски Знак"/>
    <w:basedOn w:val="a0"/>
    <w:link w:val="a3"/>
    <w:uiPriority w:val="99"/>
    <w:rsid w:val="00EF651B"/>
    <w:rPr>
      <w:rFonts w:ascii="Times New Roman" w:eastAsia="Times New Roman" w:hAnsi="Times New Roman" w:cs="Times New Roman"/>
      <w:sz w:val="20"/>
      <w:szCs w:val="20"/>
      <w:lang w:eastAsia="ru-RU"/>
    </w:rPr>
  </w:style>
  <w:style w:type="character" w:styleId="a5">
    <w:name w:val="footnote reference"/>
    <w:uiPriority w:val="99"/>
    <w:rsid w:val="00EF651B"/>
    <w:rPr>
      <w:vertAlign w:val="superscript"/>
    </w:rPr>
  </w:style>
  <w:style w:type="table" w:styleId="a6">
    <w:name w:val="Table Grid"/>
    <w:basedOn w:val="a1"/>
    <w:rsid w:val="00EF651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F651B"/>
    <w:pPr>
      <w:spacing w:after="0" w:line="240" w:lineRule="auto"/>
    </w:pPr>
    <w:rPr>
      <w:rFonts w:ascii="Calibri" w:eastAsia="Times New Roman" w:hAnsi="Calibri" w:cs="Times New Roman"/>
    </w:rPr>
  </w:style>
  <w:style w:type="paragraph" w:styleId="a8">
    <w:name w:val="header"/>
    <w:basedOn w:val="a"/>
    <w:link w:val="a9"/>
    <w:uiPriority w:val="99"/>
    <w:unhideWhenUsed/>
    <w:rsid w:val="00EF651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F651B"/>
    <w:rPr>
      <w:rFonts w:ascii="Calibri" w:eastAsia="Times New Roman" w:hAnsi="Calibri" w:cs="Times New Roman"/>
    </w:rPr>
  </w:style>
  <w:style w:type="paragraph" w:styleId="aa">
    <w:name w:val="footer"/>
    <w:basedOn w:val="a"/>
    <w:link w:val="ab"/>
    <w:uiPriority w:val="99"/>
    <w:semiHidden/>
    <w:unhideWhenUsed/>
    <w:rsid w:val="00EF651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EF651B"/>
    <w:rPr>
      <w:rFonts w:ascii="Calibri" w:eastAsia="Times New Roman" w:hAnsi="Calibri" w:cs="Times New Roman"/>
    </w:rPr>
  </w:style>
  <w:style w:type="paragraph" w:customStyle="1" w:styleId="ConsPlusNormal">
    <w:name w:val="ConsPlusNormal"/>
    <w:rsid w:val="00356E01"/>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50008">
      <w:bodyDiv w:val="1"/>
      <w:marLeft w:val="0"/>
      <w:marRight w:val="0"/>
      <w:marTop w:val="0"/>
      <w:marBottom w:val="0"/>
      <w:divBdr>
        <w:top w:val="none" w:sz="0" w:space="0" w:color="auto"/>
        <w:left w:val="none" w:sz="0" w:space="0" w:color="auto"/>
        <w:bottom w:val="none" w:sz="0" w:space="0" w:color="auto"/>
        <w:right w:val="none" w:sz="0" w:space="0" w:color="auto"/>
      </w:divBdr>
    </w:div>
    <w:div w:id="76927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C4DF67642241FD9CBB477E97DD679A7A8B2F295D90699E1AB143368FQFk7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6CC4DF67642241FD9CBB477E97DD679A7A8D262C5C96699E1AB143368FF7801992C7C7C2D9F4ECAAQ9k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CC4DF67642241FD9CBB477E97DD679A7A89262C5994699E1AB143368FQFk7G" TargetMode="External"/><Relationship Id="rId5" Type="http://schemas.openxmlformats.org/officeDocument/2006/relationships/footnotes" Target="footnotes.xml"/><Relationship Id="rId10" Type="http://schemas.openxmlformats.org/officeDocument/2006/relationships/hyperlink" Target="consultantplus://offline/ref=6CC4DF67642241FD9CBB477E97DD679A798627275F96699E1AB143368FQFk7G" TargetMode="External"/><Relationship Id="rId4" Type="http://schemas.openxmlformats.org/officeDocument/2006/relationships/webSettings" Target="webSettings.xml"/><Relationship Id="rId9" Type="http://schemas.openxmlformats.org/officeDocument/2006/relationships/hyperlink" Target="consultantplus://offline/ref=6CC4DF67642241FD9CBB477E97DD679A788E2F285897699E1AB143368FQFk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3541</Words>
  <Characters>20188</Characters>
  <Application>Microsoft Office Word</Application>
  <DocSecurity>0</DocSecurity>
  <Lines>168</Lines>
  <Paragraphs>47</Paragraphs>
  <ScaleCrop>false</ScaleCrop>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Пользователь</cp:lastModifiedBy>
  <cp:revision>9</cp:revision>
  <cp:lastPrinted>2019-02-20T17:34:00Z</cp:lastPrinted>
  <dcterms:created xsi:type="dcterms:W3CDTF">2018-11-01T13:37:00Z</dcterms:created>
  <dcterms:modified xsi:type="dcterms:W3CDTF">2019-03-17T17:22:00Z</dcterms:modified>
</cp:coreProperties>
</file>