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5463" w:right="362"/>
      </w:pPr>
      <w:bookmarkStart w:name="Приложение № 1" w:id="1"/>
      <w:bookmarkEnd w:id="1"/>
      <w:r>
        <w:rPr/>
      </w:r>
      <w:r>
        <w:rPr/>
        <w:t>Приложение № 1</w:t>
      </w:r>
    </w:p>
    <w:p>
      <w:pPr>
        <w:tabs>
          <w:tab w:pos="6641" w:val="left" w:leader="none"/>
        </w:tabs>
        <w:spacing w:before="2"/>
        <w:ind w:left="5465" w:right="362" w:firstLine="0"/>
        <w:jc w:val="center"/>
        <w:rPr>
          <w:sz w:val="28"/>
        </w:rPr>
      </w:pPr>
      <w:r>
        <w:rPr>
          <w:sz w:val="28"/>
        </w:rPr>
        <w:t>к приказу Минимущества</w:t>
      </w:r>
      <w:r>
        <w:rPr>
          <w:spacing w:val="-16"/>
          <w:sz w:val="28"/>
        </w:rPr>
        <w:t> </w:t>
      </w:r>
      <w:r>
        <w:rPr>
          <w:sz w:val="28"/>
        </w:rPr>
        <w:t>Дагестана от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> </w:t>
        <w:tab/>
      </w:r>
      <w:r>
        <w:rPr>
          <w:sz w:val="28"/>
        </w:rPr>
        <w:t>» декабря 2018</w:t>
      </w:r>
      <w:r>
        <w:rPr>
          <w:spacing w:val="-9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before="10"/>
        <w:rPr>
          <w:sz w:val="27"/>
        </w:rPr>
      </w:pPr>
    </w:p>
    <w:p>
      <w:pPr>
        <w:spacing w:line="240" w:lineRule="auto" w:before="0"/>
        <w:ind w:left="5104" w:right="0" w:firstLine="0"/>
        <w:jc w:val="center"/>
        <w:rPr>
          <w:sz w:val="18"/>
        </w:rPr>
      </w:pPr>
      <w:r>
        <w:rPr>
          <w:sz w:val="28"/>
        </w:rPr>
        <w:t>Примерная форма сопроводительного письма о согласовании совершения государственным бюджетным учреждением Республики Дагестан крупной сделки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9"/>
        <w:rPr>
          <w:sz w:val="26"/>
        </w:rPr>
      </w:pPr>
    </w:p>
    <w:p>
      <w:pPr>
        <w:tabs>
          <w:tab w:pos="8741" w:val="left" w:leader="none"/>
        </w:tabs>
        <w:spacing w:before="1"/>
        <w:ind w:left="5099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hyperlink w:history="true" w:anchor="_bookmark1">
        <w:r>
          <w:rPr>
            <w:sz w:val="18"/>
          </w:rPr>
          <w:t>2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213"/>
        <w:ind w:right="4861"/>
        <w:jc w:val="left"/>
      </w:pPr>
      <w:r>
        <w:rPr/>
        <w:t>О согласовании крупной сделки государственного бюджетного учреждения Республики Дагестан</w:t>
      </w:r>
    </w:p>
    <w:p>
      <w:pPr>
        <w:pStyle w:val="BodyText"/>
        <w:spacing w:before="1"/>
        <w:rPr>
          <w:sz w:val="28"/>
        </w:rPr>
      </w:pPr>
    </w:p>
    <w:p>
      <w:pPr>
        <w:tabs>
          <w:tab w:pos="7400" w:val="left" w:leader="none"/>
          <w:tab w:pos="8646" w:val="left" w:leader="none"/>
          <w:tab w:pos="9230" w:val="left" w:leader="none"/>
          <w:tab w:pos="9635" w:val="left" w:leader="none"/>
        </w:tabs>
        <w:spacing w:line="273" w:lineRule="auto" w:before="0"/>
        <w:ind w:left="132" w:right="127" w:firstLine="708"/>
        <w:jc w:val="both"/>
        <w:rPr>
          <w:sz w:val="28"/>
        </w:rPr>
      </w:pPr>
      <w:r>
        <w:rPr>
          <w:sz w:val="28"/>
        </w:rPr>
        <w:t>В соответствии с Порядком предварительного согласования совершения государственным бюджетным учреждением Республики Дагестан крупных сделок,  утвержденным  постановлением  Правительства  Республики   Дагестан от 20 июля 2018 г. № 98 «О совершенствовании порядка осуществления органами исполнительной власти Республики Дагестан функций и полномочий учредителя государственного     </w:t>
      </w:r>
      <w:r>
        <w:rPr>
          <w:spacing w:val="57"/>
          <w:sz w:val="28"/>
        </w:rPr>
        <w:t> </w:t>
      </w:r>
      <w:r>
        <w:rPr>
          <w:sz w:val="28"/>
        </w:rPr>
        <w:t>учреждения»,</w:t>
      </w:r>
      <w:r>
        <w:rPr>
          <w:sz w:val="28"/>
          <w:u w:val="single"/>
        </w:rPr>
        <w:t> </w:t>
        <w:tab/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ab/>
      </w:r>
      <w:r>
        <w:rPr>
          <w:spacing w:val="-4"/>
          <w:sz w:val="28"/>
        </w:rPr>
        <w:t>просит </w:t>
      </w:r>
      <w:r>
        <w:rPr>
          <w:sz w:val="28"/>
        </w:rPr>
        <w:t>согласовать совершение</w:t>
      </w:r>
      <w:r>
        <w:rPr>
          <w:spacing w:val="14"/>
          <w:sz w:val="28"/>
        </w:rPr>
        <w:t> </w:t>
      </w:r>
      <w:r>
        <w:rPr>
          <w:sz w:val="28"/>
        </w:rPr>
        <w:t>сделки</w:t>
      </w:r>
      <w:r>
        <w:rPr>
          <w:spacing w:val="5"/>
          <w:sz w:val="28"/>
        </w:rPr>
        <w:t> </w:t>
      </w:r>
      <w:r>
        <w:rPr>
          <w:sz w:val="28"/>
        </w:rPr>
        <w:t>между</w:t>
      </w:r>
      <w:r>
        <w:rPr>
          <w:sz w:val="28"/>
          <w:u w:val="single"/>
        </w:rPr>
        <w:t> </w:t>
        <w:tab/>
      </w:r>
      <w:hyperlink w:history="true" w:anchor="_bookmark3">
        <w:r>
          <w:rPr>
            <w:position w:val="10"/>
            <w:sz w:val="18"/>
          </w:rPr>
          <w:t>4</w:t>
        </w:r>
      </w:hyperlink>
      <w:r>
        <w:rPr>
          <w:spacing w:val="35"/>
          <w:position w:val="10"/>
          <w:sz w:val="18"/>
        </w:rPr>
        <w:t> </w:t>
      </w:r>
      <w:r>
        <w:rPr>
          <w:sz w:val="28"/>
        </w:rPr>
        <w:t>(</w:t>
      </w:r>
      <w:r>
        <w:rPr>
          <w:sz w:val="28"/>
          <w:u w:val="single"/>
        </w:rPr>
        <w:t> </w:t>
        <w:tab/>
        <w:tab/>
        <w:tab/>
      </w:r>
      <w:r>
        <w:rPr>
          <w:spacing w:val="3"/>
          <w:sz w:val="28"/>
        </w:rPr>
        <w:t>)</w:t>
      </w:r>
      <w:hyperlink w:history="true" w:anchor="_bookmark4">
        <w:r>
          <w:rPr>
            <w:spacing w:val="3"/>
            <w:position w:val="10"/>
            <w:sz w:val="18"/>
          </w:rPr>
          <w:t>5</w:t>
        </w:r>
      </w:hyperlink>
      <w:r>
        <w:rPr>
          <w:spacing w:val="34"/>
          <w:position w:val="10"/>
          <w:sz w:val="18"/>
        </w:rPr>
        <w:t> </w:t>
      </w:r>
      <w:r>
        <w:rPr>
          <w:spacing w:val="-14"/>
          <w:sz w:val="28"/>
        </w:rPr>
        <w:t>и</w:t>
      </w:r>
    </w:p>
    <w:p>
      <w:pPr>
        <w:tabs>
          <w:tab w:pos="2372" w:val="left" w:leader="none"/>
          <w:tab w:pos="4458" w:val="left" w:leader="none"/>
          <w:tab w:pos="8058" w:val="left" w:leader="none"/>
        </w:tabs>
        <w:spacing w:before="3"/>
        <w:ind w:left="133" w:right="0" w:firstLine="0"/>
        <w:jc w:val="both"/>
        <w:rPr>
          <w:sz w:val="28"/>
        </w:rPr>
      </w:pPr>
      <w:r>
        <w:rPr>
          <w:position w:val="10"/>
          <w:sz w:val="18"/>
          <w:u w:val="single"/>
        </w:rPr>
        <w:t> </w:t>
        <w:tab/>
      </w:r>
      <w:hyperlink w:history="true" w:anchor="_bookmark5">
        <w:r>
          <w:rPr>
            <w:position w:val="10"/>
            <w:sz w:val="18"/>
          </w:rPr>
          <w:t>6</w:t>
        </w:r>
      </w:hyperlink>
      <w:r>
        <w:rPr>
          <w:spacing w:val="25"/>
          <w:position w:val="10"/>
          <w:sz w:val="18"/>
        </w:rPr>
        <w:t> </w:t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pacing w:val="2"/>
          <w:sz w:val="28"/>
        </w:rPr>
        <w:t>_)</w:t>
      </w:r>
      <w:hyperlink w:history="true" w:anchor="_bookmark6">
        <w:r>
          <w:rPr>
            <w:spacing w:val="2"/>
            <w:position w:val="10"/>
            <w:sz w:val="18"/>
          </w:rPr>
          <w:t>7</w:t>
        </w:r>
      </w:hyperlink>
      <w:r>
        <w:rPr>
          <w:spacing w:val="25"/>
          <w:position w:val="10"/>
          <w:sz w:val="1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целях</w:t>
      </w:r>
      <w:r>
        <w:rPr>
          <w:sz w:val="28"/>
          <w:u w:val="single"/>
        </w:rPr>
        <w:t> </w:t>
        <w:tab/>
      </w:r>
      <w:r>
        <w:rPr>
          <w:spacing w:val="2"/>
          <w:sz w:val="28"/>
        </w:rPr>
        <w:t>_</w:t>
      </w:r>
      <w:hyperlink w:history="true" w:anchor="_bookmark7">
        <w:r>
          <w:rPr>
            <w:spacing w:val="2"/>
            <w:position w:val="10"/>
            <w:sz w:val="18"/>
          </w:rPr>
          <w:t>8</w:t>
        </w:r>
      </w:hyperlink>
      <w:r>
        <w:rPr>
          <w:spacing w:val="2"/>
          <w:sz w:val="28"/>
        </w:rPr>
        <w:t>.</w:t>
      </w:r>
    </w:p>
    <w:p>
      <w:pPr>
        <w:pStyle w:val="Heading1"/>
        <w:tabs>
          <w:tab w:pos="9559" w:val="left" w:leader="none"/>
        </w:tabs>
        <w:spacing w:before="41"/>
        <w:ind w:left="840"/>
        <w:jc w:val="both"/>
      </w:pPr>
      <w:r>
        <w:rPr/>
        <w:t>Согласно проекту договора, предметом</w:t>
      </w:r>
      <w:r>
        <w:rPr>
          <w:spacing w:val="-15"/>
        </w:rPr>
        <w:t> </w:t>
      </w:r>
      <w:r>
        <w:rPr/>
        <w:t>договора</w:t>
      </w:r>
      <w:r>
        <w:rPr>
          <w:spacing w:val="-2"/>
        </w:rPr>
        <w:t> </w:t>
      </w:r>
      <w:r>
        <w:rPr/>
        <w:t>является</w:t>
      </w:r>
      <w:r>
        <w:rPr>
          <w:u w:val="single"/>
        </w:rPr>
        <w:t> </w:t>
        <w:tab/>
      </w:r>
      <w:hyperlink w:history="true" w:anchor="_bookmark8">
        <w:r>
          <w:rPr>
            <w:position w:val="10"/>
            <w:sz w:val="18"/>
          </w:rPr>
          <w:t>9</w:t>
        </w:r>
      </w:hyperlink>
      <w:r>
        <w:rPr/>
        <w:t>.</w:t>
      </w:r>
    </w:p>
    <w:p>
      <w:pPr>
        <w:tabs>
          <w:tab w:pos="5473" w:val="left" w:leader="none"/>
          <w:tab w:pos="8886" w:val="left" w:leader="none"/>
        </w:tabs>
        <w:spacing w:line="242" w:lineRule="auto" w:before="41"/>
        <w:ind w:left="132" w:right="130" w:hanging="1"/>
        <w:jc w:val="both"/>
        <w:rPr>
          <w:sz w:val="28"/>
        </w:rPr>
      </w:pPr>
      <w:r>
        <w:rPr>
          <w:sz w:val="28"/>
        </w:rPr>
        <w:t>Цена </w:t>
      </w:r>
      <w:r>
        <w:rPr>
          <w:spacing w:val="45"/>
          <w:sz w:val="28"/>
        </w:rPr>
        <w:t> </w:t>
      </w:r>
      <w:r>
        <w:rPr>
          <w:sz w:val="28"/>
        </w:rPr>
        <w:t>договора </w:t>
      </w:r>
      <w:r>
        <w:rPr>
          <w:spacing w:val="43"/>
          <w:sz w:val="28"/>
        </w:rPr>
        <w:t> </w:t>
      </w:r>
      <w:r>
        <w:rPr>
          <w:sz w:val="28"/>
        </w:rPr>
        <w:t>составляет</w:t>
      </w:r>
      <w:r>
        <w:rPr>
          <w:sz w:val="28"/>
          <w:u w:val="single"/>
        </w:rPr>
        <w:t> </w:t>
        <w:tab/>
      </w:r>
      <w:hyperlink w:history="true" w:anchor="_bookmark9">
        <w:r>
          <w:rPr>
            <w:position w:val="10"/>
            <w:sz w:val="18"/>
          </w:rPr>
          <w:t>10</w:t>
        </w:r>
      </w:hyperlink>
      <w:r>
        <w:rPr>
          <w:position w:val="10"/>
          <w:sz w:val="18"/>
        </w:rPr>
        <w:t>   </w:t>
      </w:r>
      <w:r>
        <w:rPr>
          <w:spacing w:val="9"/>
          <w:position w:val="10"/>
          <w:sz w:val="18"/>
        </w:rPr>
        <w:t> </w:t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z w:val="28"/>
        </w:rPr>
        <w:t>_)</w:t>
      </w:r>
      <w:hyperlink w:history="true" w:anchor="_bookmark10">
        <w:r>
          <w:rPr>
            <w:position w:val="10"/>
            <w:sz w:val="18"/>
          </w:rPr>
          <w:t>11</w:t>
        </w:r>
      </w:hyperlink>
      <w:r>
        <w:rPr>
          <w:position w:val="10"/>
          <w:sz w:val="18"/>
        </w:rPr>
        <w:t> </w:t>
      </w:r>
      <w:r>
        <w:rPr>
          <w:spacing w:val="-6"/>
          <w:sz w:val="28"/>
        </w:rPr>
        <w:t>руб., </w:t>
      </w:r>
      <w:r>
        <w:rPr>
          <w:sz w:val="28"/>
        </w:rPr>
        <w:t>включая</w:t>
      </w:r>
      <w:r>
        <w:rPr>
          <w:spacing w:val="38"/>
          <w:sz w:val="28"/>
        </w:rPr>
        <w:t> </w:t>
      </w:r>
      <w:r>
        <w:rPr>
          <w:sz w:val="28"/>
        </w:rPr>
        <w:t>НДС,</w:t>
      </w:r>
      <w:r>
        <w:rPr>
          <w:spacing w:val="37"/>
          <w:sz w:val="28"/>
        </w:rPr>
        <w:t> </w:t>
      </w:r>
      <w:r>
        <w:rPr>
          <w:sz w:val="28"/>
        </w:rPr>
        <w:t>что</w:t>
      </w:r>
      <w:r>
        <w:rPr>
          <w:spacing w:val="37"/>
          <w:sz w:val="28"/>
        </w:rPr>
        <w:t> </w:t>
      </w:r>
      <w:r>
        <w:rPr>
          <w:sz w:val="28"/>
        </w:rPr>
        <w:t>превышает</w:t>
      </w:r>
      <w:r>
        <w:rPr>
          <w:spacing w:val="38"/>
          <w:sz w:val="28"/>
        </w:rPr>
        <w:t> </w:t>
      </w:r>
      <w:r>
        <w:rPr>
          <w:sz w:val="28"/>
        </w:rPr>
        <w:t>10</w:t>
      </w:r>
      <w:r>
        <w:rPr>
          <w:spacing w:val="39"/>
          <w:sz w:val="28"/>
        </w:rPr>
        <w:t> </w:t>
      </w:r>
      <w:r>
        <w:rPr>
          <w:sz w:val="28"/>
        </w:rPr>
        <w:t>%</w:t>
      </w:r>
      <w:r>
        <w:rPr>
          <w:spacing w:val="35"/>
          <w:sz w:val="28"/>
        </w:rPr>
        <w:t> </w:t>
      </w:r>
      <w:r>
        <w:rPr>
          <w:sz w:val="28"/>
        </w:rPr>
        <w:t>балансовой</w:t>
      </w:r>
      <w:r>
        <w:rPr>
          <w:spacing w:val="39"/>
          <w:sz w:val="28"/>
        </w:rPr>
        <w:t> </w:t>
      </w:r>
      <w:r>
        <w:rPr>
          <w:sz w:val="28"/>
        </w:rPr>
        <w:t>стоимости</w:t>
      </w:r>
      <w:r>
        <w:rPr>
          <w:spacing w:val="39"/>
          <w:sz w:val="28"/>
        </w:rPr>
        <w:t> </w:t>
      </w:r>
      <w:r>
        <w:rPr>
          <w:sz w:val="28"/>
        </w:rPr>
        <w:t>активов</w:t>
      </w:r>
      <w:r>
        <w:rPr>
          <w:spacing w:val="35"/>
          <w:sz w:val="28"/>
        </w:rPr>
        <w:t> </w:t>
      </w:r>
      <w:r>
        <w:rPr>
          <w:sz w:val="28"/>
        </w:rPr>
        <w:t>бюджетного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6.639999pt,11.462998pt" to="200.639999pt,11.462998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47"/>
        <w:ind w:left="132"/>
      </w:pPr>
      <w:bookmarkStart w:name="_bookmark0" w:id="2"/>
      <w:bookmarkEnd w:id="2"/>
      <w:r>
        <w:rPr/>
      </w:r>
      <w:r>
        <w:rPr>
          <w:position w:val="9"/>
          <w:sz w:val="16"/>
        </w:rPr>
        <w:t>1</w:t>
      </w:r>
      <w:r>
        <w:rPr>
          <w:spacing w:val="33"/>
          <w:position w:val="9"/>
          <w:sz w:val="16"/>
        </w:rPr>
        <w:t> </w:t>
      </w:r>
      <w:r>
        <w:rPr/>
        <w:t>Применяется</w:t>
      </w:r>
      <w:r>
        <w:rPr>
          <w:spacing w:val="12"/>
        </w:rPr>
        <w:t> </w:t>
      </w:r>
      <w:r>
        <w:rPr/>
        <w:t>для</w:t>
      </w:r>
      <w:r>
        <w:rPr>
          <w:spacing w:val="12"/>
        </w:rPr>
        <w:t> </w:t>
      </w:r>
      <w:r>
        <w:rPr/>
        <w:t>подготовки</w:t>
      </w:r>
      <w:r>
        <w:rPr>
          <w:spacing w:val="13"/>
        </w:rPr>
        <w:t> </w:t>
      </w:r>
      <w:r>
        <w:rPr/>
        <w:t>документа,</w:t>
      </w:r>
      <w:r>
        <w:rPr>
          <w:spacing w:val="14"/>
        </w:rPr>
        <w:t> </w:t>
      </w:r>
      <w:r>
        <w:rPr/>
        <w:t>указанного</w:t>
      </w:r>
      <w:r>
        <w:rPr>
          <w:spacing w:val="12"/>
        </w:rPr>
        <w:t> </w:t>
      </w:r>
      <w:r>
        <w:rPr/>
        <w:t>в</w:t>
      </w:r>
      <w:r>
        <w:rPr>
          <w:spacing w:val="9"/>
        </w:rPr>
        <w:t> </w:t>
      </w:r>
      <w:r>
        <w:rPr/>
        <w:t>подпункте</w:t>
      </w:r>
      <w:r>
        <w:rPr>
          <w:spacing w:val="11"/>
        </w:rPr>
        <w:t> </w:t>
      </w:r>
      <w:r>
        <w:rPr/>
        <w:t>1</w:t>
      </w:r>
      <w:r>
        <w:rPr>
          <w:spacing w:val="12"/>
        </w:rPr>
        <w:t> </w:t>
      </w:r>
      <w:r>
        <w:rPr/>
        <w:t>пункта</w:t>
      </w:r>
      <w:r>
        <w:rPr>
          <w:spacing w:val="12"/>
        </w:rPr>
        <w:t> </w:t>
      </w:r>
      <w:r>
        <w:rPr/>
        <w:t>3</w:t>
      </w:r>
      <w:r>
        <w:rPr>
          <w:spacing w:val="12"/>
        </w:rPr>
        <w:t> </w:t>
      </w:r>
      <w:r>
        <w:rPr/>
        <w:t>приложения</w:t>
      </w:r>
      <w:r>
        <w:rPr>
          <w:spacing w:val="9"/>
        </w:rPr>
        <w:t> </w:t>
      </w:r>
      <w:r>
        <w:rPr/>
        <w:t>№</w:t>
      </w:r>
      <w:r>
        <w:rPr>
          <w:spacing w:val="11"/>
        </w:rPr>
        <w:t> </w:t>
      </w:r>
      <w:r>
        <w:rPr/>
        <w:t>2</w:t>
      </w:r>
    </w:p>
    <w:p>
      <w:pPr>
        <w:pStyle w:val="BodyText"/>
        <w:spacing w:line="268" w:lineRule="exact"/>
        <w:ind w:left="132"/>
      </w:pPr>
      <w:r>
        <w:rPr/>
        <w:t>к постановлению Правительства Республики Дагестан от 20 июля 2018 г. № 98</w:t>
      </w:r>
    </w:p>
    <w:p>
      <w:pPr>
        <w:pStyle w:val="BodyText"/>
        <w:ind w:left="132"/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/>
        <w:t>Указывается наименование органа исполнительной власти Республики Дагестан, в ведении которого находится государственное бюджетное учреждение Республики Дагестан</w:t>
      </w:r>
    </w:p>
    <w:p>
      <w:pPr>
        <w:pStyle w:val="BodyText"/>
        <w:spacing w:line="276" w:lineRule="exact"/>
        <w:ind w:left="132"/>
      </w:pPr>
      <w:bookmarkStart w:name="_bookmark2" w:id="4"/>
      <w:bookmarkEnd w:id="4"/>
      <w:r>
        <w:rPr/>
      </w:r>
      <w:r>
        <w:rPr>
          <w:position w:val="9"/>
          <w:sz w:val="16"/>
        </w:rPr>
        <w:t>3 </w:t>
      </w:r>
      <w:r>
        <w:rPr/>
        <w:t>Указывается наименование государственного бюджетного учреждения Республики Дагестан -</w:t>
      </w:r>
    </w:p>
    <w:p>
      <w:pPr>
        <w:pStyle w:val="BodyText"/>
        <w:spacing w:line="268" w:lineRule="exact"/>
        <w:ind w:left="132"/>
      </w:pPr>
      <w:r>
        <w:rPr/>
        <w:t>заявителя</w:t>
      </w:r>
    </w:p>
    <w:p>
      <w:pPr>
        <w:pStyle w:val="BodyText"/>
        <w:spacing w:line="284" w:lineRule="exact"/>
        <w:ind w:left="132"/>
      </w:pPr>
      <w:bookmarkStart w:name="_bookmark3" w:id="5"/>
      <w:bookmarkEnd w:id="5"/>
      <w:r>
        <w:rPr/>
      </w:r>
      <w:r>
        <w:rPr>
          <w:position w:val="9"/>
          <w:sz w:val="16"/>
        </w:rPr>
        <w:t>4 </w:t>
      </w:r>
      <w:r>
        <w:rPr/>
        <w:t>Указывается наименование государственного бюджетного учреждения Республики Дагестан -</w:t>
      </w:r>
    </w:p>
    <w:p>
      <w:pPr>
        <w:pStyle w:val="BodyText"/>
        <w:spacing w:line="268" w:lineRule="exact"/>
        <w:ind w:left="132"/>
      </w:pPr>
      <w:r>
        <w:rPr/>
        <w:t>заявителя</w:t>
      </w:r>
    </w:p>
    <w:p>
      <w:pPr>
        <w:pStyle w:val="BodyText"/>
        <w:ind w:left="132"/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/>
        <w:t>Указывается наименование стороны государственного бюджетного учреждения Республики Дагестан в сделке (например, продавец)</w:t>
      </w:r>
    </w:p>
    <w:p>
      <w:pPr>
        <w:pStyle w:val="BodyText"/>
        <w:spacing w:line="268" w:lineRule="exact"/>
        <w:ind w:left="132"/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/>
        <w:t>Указывается наименование контрагента по планируемой к заключению крупной сделке</w:t>
      </w:r>
    </w:p>
    <w:p>
      <w:pPr>
        <w:pStyle w:val="BodyText"/>
        <w:spacing w:line="276" w:lineRule="exact"/>
        <w:ind w:left="132"/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/>
        <w:t>Указывается наименование стороны контрагента в сделке (например, покупатель)</w:t>
      </w:r>
    </w:p>
    <w:p>
      <w:pPr>
        <w:pStyle w:val="BodyText"/>
        <w:spacing w:line="276" w:lineRule="exact"/>
        <w:ind w:left="132"/>
      </w:pPr>
      <w:bookmarkStart w:name="_bookmark7" w:id="9"/>
      <w:bookmarkEnd w:id="9"/>
      <w:r>
        <w:rPr/>
      </w:r>
      <w:r>
        <w:rPr>
          <w:position w:val="9"/>
          <w:sz w:val="16"/>
        </w:rPr>
        <w:t>8 </w:t>
      </w:r>
      <w:r>
        <w:rPr/>
        <w:t>Указывается цель совершения сделки.</w:t>
      </w:r>
    </w:p>
    <w:p>
      <w:pPr>
        <w:pStyle w:val="BodyText"/>
        <w:spacing w:line="276" w:lineRule="exact"/>
        <w:ind w:left="132"/>
      </w:pPr>
      <w:bookmarkStart w:name="_bookmark8" w:id="10"/>
      <w:bookmarkEnd w:id="10"/>
      <w:r>
        <w:rPr/>
      </w:r>
      <w:r>
        <w:rPr>
          <w:position w:val="9"/>
          <w:sz w:val="16"/>
        </w:rPr>
        <w:t>9 </w:t>
      </w:r>
      <w:r>
        <w:rPr/>
        <w:t>Указывается предмет договора</w:t>
      </w:r>
    </w:p>
    <w:p>
      <w:pPr>
        <w:pStyle w:val="BodyText"/>
        <w:spacing w:line="276" w:lineRule="exact"/>
        <w:ind w:left="132"/>
      </w:pPr>
      <w:bookmarkStart w:name="_bookmark9" w:id="11"/>
      <w:bookmarkEnd w:id="11"/>
      <w:r>
        <w:rPr/>
      </w:r>
      <w:r>
        <w:rPr>
          <w:position w:val="9"/>
          <w:sz w:val="16"/>
        </w:rPr>
        <w:t>10 </w:t>
      </w:r>
      <w:r>
        <w:rPr/>
        <w:t>Указывается цифрами</w:t>
      </w:r>
    </w:p>
    <w:p>
      <w:pPr>
        <w:pStyle w:val="BodyText"/>
        <w:spacing w:line="284" w:lineRule="exact"/>
        <w:ind w:left="132"/>
      </w:pPr>
      <w:bookmarkStart w:name="_bookmark10" w:id="12"/>
      <w:bookmarkEnd w:id="12"/>
      <w:r>
        <w:rPr/>
      </w:r>
      <w:r>
        <w:rPr>
          <w:position w:val="9"/>
          <w:sz w:val="16"/>
        </w:rPr>
        <w:t>11 </w:t>
      </w:r>
      <w:r>
        <w:rPr/>
        <w:t>Указывается прописью</w:t>
      </w:r>
    </w:p>
    <w:p>
      <w:pPr>
        <w:spacing w:after="0" w:line="284" w:lineRule="exact"/>
        <w:sectPr>
          <w:type w:val="continuous"/>
          <w:pgSz w:w="11910" w:h="16840"/>
          <w:pgMar w:top="1040" w:bottom="280" w:left="1000" w:right="720"/>
        </w:sectPr>
      </w:pPr>
    </w:p>
    <w:p>
      <w:pPr>
        <w:pStyle w:val="Heading1"/>
        <w:spacing w:before="62"/>
        <w:ind w:left="1"/>
      </w:pPr>
      <w:r>
        <w:rPr>
          <w:w w:val="100"/>
        </w:rPr>
        <w:t>2</w:t>
      </w:r>
    </w:p>
    <w:p>
      <w:pPr>
        <w:pStyle w:val="BodyText"/>
        <w:spacing w:before="9"/>
        <w:rPr>
          <w:sz w:val="23"/>
        </w:rPr>
      </w:pPr>
    </w:p>
    <w:p>
      <w:pPr>
        <w:tabs>
          <w:tab w:pos="1891" w:val="left" w:leader="none"/>
          <w:tab w:pos="3828" w:val="left" w:leader="none"/>
          <w:tab w:pos="4373" w:val="left" w:leader="none"/>
          <w:tab w:pos="5561" w:val="left" w:leader="none"/>
          <w:tab w:pos="6194" w:val="left" w:leader="none"/>
          <w:tab w:pos="8189" w:val="left" w:leader="none"/>
          <w:tab w:pos="9780" w:val="left" w:leader="none"/>
        </w:tabs>
        <w:spacing w:line="235" w:lineRule="auto" w:before="0"/>
        <w:ind w:left="132" w:right="128" w:firstLine="0"/>
        <w:jc w:val="left"/>
        <w:rPr>
          <w:sz w:val="28"/>
        </w:rPr>
      </w:pPr>
      <w:r>
        <w:rPr>
          <w:sz w:val="28"/>
        </w:rPr>
        <w:t>учреждения,</w:t>
        <w:tab/>
        <w:t>определяемой</w:t>
        <w:tab/>
        <w:t>по</w:t>
        <w:tab/>
        <w:t>данным</w:t>
        <w:tab/>
        <w:t>его</w:t>
        <w:tab/>
        <w:t>бухгалтерской</w:t>
        <w:tab/>
        <w:t>отчетности</w:t>
        <w:tab/>
      </w:r>
      <w:r>
        <w:rPr>
          <w:spacing w:val="-9"/>
          <w:sz w:val="28"/>
        </w:rPr>
        <w:t>на </w:t>
      </w:r>
      <w:r>
        <w:rPr>
          <w:sz w:val="28"/>
        </w:rPr>
        <w:t>последнюю отчетную дату</w:t>
      </w:r>
      <w:r>
        <w:rPr>
          <w:spacing w:val="-22"/>
          <w:sz w:val="28"/>
        </w:rPr>
        <w:t> </w:t>
      </w:r>
      <w:hyperlink w:history="true" w:anchor="_bookmark11">
        <w:r>
          <w:rPr>
            <w:position w:val="10"/>
            <w:sz w:val="18"/>
          </w:rPr>
          <w:t>12</w:t>
        </w:r>
      </w:hyperlink>
      <w:r>
        <w:rPr>
          <w:sz w:val="28"/>
        </w:rPr>
        <w:t>.</w:t>
      </w:r>
    </w:p>
    <w:p>
      <w:pPr>
        <w:tabs>
          <w:tab w:pos="7640" w:val="left" w:leader="none"/>
          <w:tab w:pos="8348" w:val="left" w:leader="none"/>
          <w:tab w:pos="8413" w:val="left" w:leader="none"/>
        </w:tabs>
        <w:spacing w:line="271" w:lineRule="auto" w:before="0" w:after="12"/>
        <w:ind w:left="840" w:right="1574" w:firstLine="0"/>
        <w:jc w:val="left"/>
        <w:rPr>
          <w:sz w:val="18"/>
        </w:rPr>
      </w:pPr>
      <w:r>
        <w:rPr>
          <w:sz w:val="28"/>
        </w:rPr>
        <w:t>Срок исполнения обязательств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сделке</w:t>
      </w:r>
      <w:r>
        <w:rPr>
          <w:sz w:val="28"/>
          <w:u w:val="single"/>
        </w:rPr>
        <w:t> </w:t>
        <w:tab/>
      </w:r>
      <w:hyperlink w:history="true" w:anchor="_bookmark12">
        <w:r>
          <w:rPr>
            <w:position w:val="10"/>
            <w:sz w:val="18"/>
          </w:rPr>
          <w:t>13</w:t>
        </w:r>
      </w:hyperlink>
      <w:r>
        <w:rPr>
          <w:sz w:val="28"/>
        </w:rPr>
        <w:t>. Источником финансирования</w:t>
      </w:r>
      <w:r>
        <w:rPr>
          <w:spacing w:val="-9"/>
          <w:sz w:val="28"/>
        </w:rPr>
        <w:t> </w:t>
      </w:r>
      <w:r>
        <w:rPr>
          <w:sz w:val="28"/>
        </w:rPr>
        <w:t>сделки</w:t>
      </w:r>
      <w:r>
        <w:rPr>
          <w:spacing w:val="-3"/>
          <w:sz w:val="28"/>
        </w:rPr>
        <w:t> </w:t>
      </w:r>
      <w:r>
        <w:rPr>
          <w:sz w:val="28"/>
        </w:rPr>
        <w:t>являются</w:t>
      </w:r>
      <w:r>
        <w:rPr>
          <w:sz w:val="28"/>
          <w:u w:val="single"/>
        </w:rPr>
        <w:t> </w:t>
        <w:tab/>
        <w:tab/>
      </w:r>
      <w:hyperlink w:history="true" w:anchor="_bookmark13">
        <w:r>
          <w:rPr>
            <w:position w:val="10"/>
            <w:sz w:val="18"/>
          </w:rPr>
          <w:t>14</w:t>
        </w:r>
      </w:hyperlink>
      <w:r>
        <w:rPr>
          <w:sz w:val="28"/>
        </w:rPr>
        <w:t>. Иные существенные</w:t>
      </w:r>
      <w:r>
        <w:rPr>
          <w:spacing w:val="-7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договора:</w:t>
      </w:r>
      <w:r>
        <w:rPr>
          <w:sz w:val="28"/>
          <w:u w:val="single"/>
        </w:rPr>
        <w:t> </w:t>
        <w:tab/>
        <w:tab/>
        <w:tab/>
      </w:r>
      <w:hyperlink w:history="true" w:anchor="_bookmark14">
        <w:r>
          <w:rPr>
            <w:position w:val="10"/>
            <w:sz w:val="18"/>
          </w:rPr>
          <w:t>15</w:t>
        </w:r>
      </w:hyperlink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348"/>
        <w:gridCol w:w="158"/>
        <w:gridCol w:w="3220"/>
        <w:gridCol w:w="158"/>
        <w:gridCol w:w="3220"/>
      </w:tblGrid>
      <w:tr>
        <w:trPr>
          <w:trHeight w:val="2270" w:hRule="atLeast"/>
        </w:trPr>
        <w:tc>
          <w:tcPr>
            <w:tcW w:w="1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8104" w:type="dxa"/>
            <w:gridSpan w:val="5"/>
          </w:tcPr>
          <w:p>
            <w:pPr>
              <w:pStyle w:val="TableParagraph"/>
              <w:ind w:left="251" w:right="19"/>
              <w:jc w:val="both"/>
              <w:rPr>
                <w:sz w:val="28"/>
              </w:rPr>
            </w:pPr>
            <w:r>
              <w:rPr>
                <w:sz w:val="28"/>
              </w:rPr>
              <w:t>перечисляются все приложения к письму в соответствии с приложением № 2 к постановлению Правительства Республики Дагестан от 20 июля 2018 г. № 98 (с указанием количества листов)</w:t>
            </w:r>
          </w:p>
        </w:tc>
      </w:tr>
      <w:tr>
        <w:trPr>
          <w:trHeight w:val="985" w:hRule="atLeast"/>
        </w:trPr>
        <w:tc>
          <w:tcPr>
            <w:tcW w:w="322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9" w:right="2000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56.639999pt,13.030371pt" to="200.639999pt,13.030371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line="284" w:lineRule="exact" w:before="47"/>
        <w:ind w:left="132"/>
        <w:jc w:val="both"/>
      </w:pPr>
      <w:bookmarkStart w:name="_bookmark11" w:id="13"/>
      <w:bookmarkEnd w:id="13"/>
      <w:r>
        <w:rPr/>
      </w:r>
      <w:r>
        <w:rPr>
          <w:position w:val="9"/>
          <w:sz w:val="16"/>
        </w:rPr>
        <w:t>12 </w:t>
      </w:r>
      <w:r>
        <w:rPr/>
        <w:t>Если уставом бюджетного учреждения не предусмотрен меньший размер крупной сделки</w:t>
      </w:r>
    </w:p>
    <w:p>
      <w:pPr>
        <w:pStyle w:val="BodyText"/>
        <w:ind w:left="132" w:right="127"/>
        <w:jc w:val="both"/>
      </w:pPr>
      <w:bookmarkStart w:name="_bookmark12" w:id="14"/>
      <w:bookmarkEnd w:id="14"/>
      <w:r>
        <w:rPr/>
      </w:r>
      <w:r>
        <w:rPr>
          <w:position w:val="9"/>
          <w:sz w:val="16"/>
        </w:rPr>
        <w:t>13 </w:t>
      </w:r>
      <w:r>
        <w:rPr/>
        <w:t>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  <w:p>
      <w:pPr>
        <w:pStyle w:val="BodyText"/>
        <w:spacing w:line="276" w:lineRule="exact"/>
        <w:ind w:left="132" w:right="125"/>
        <w:jc w:val="both"/>
      </w:pPr>
      <w:bookmarkStart w:name="_bookmark13" w:id="15"/>
      <w:bookmarkEnd w:id="15"/>
      <w:r>
        <w:rPr/>
      </w:r>
      <w:r>
        <w:rPr>
          <w:position w:val="9"/>
          <w:sz w:val="16"/>
        </w:rPr>
        <w:t>14 </w:t>
      </w:r>
      <w:r>
        <w:rPr/>
        <w:t>Указываются источники финансирования сделки. Указываются источники финансирования сделки для той стороны сделки, которая несет финансовые затраты (например, если учреждение осуществляет продажу, то указываются источники финансирования покупателя).</w:t>
      </w:r>
    </w:p>
    <w:p>
      <w:pPr>
        <w:pStyle w:val="BodyText"/>
        <w:spacing w:line="276" w:lineRule="exact"/>
        <w:ind w:left="132" w:right="126"/>
        <w:jc w:val="both"/>
      </w:pPr>
      <w:bookmarkStart w:name="_bookmark14" w:id="16"/>
      <w:bookmarkEnd w:id="16"/>
      <w:r>
        <w:rPr/>
      </w:r>
      <w:r>
        <w:rPr>
          <w:position w:val="9"/>
          <w:sz w:val="16"/>
        </w:rPr>
        <w:t>15 </w:t>
      </w:r>
      <w:r>
        <w:rPr/>
        <w:t>Указываются существенные условия договора в соответствии со статьей 432 Гражданского кодека Российской Федерации</w:t>
      </w:r>
    </w:p>
    <w:sectPr>
      <w:pgSz w:w="11910" w:h="16840"/>
      <w:pgMar w:top="620" w:bottom="280" w:left="10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32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2019-10-22T07:17:44Z</dcterms:created>
  <dcterms:modified xsi:type="dcterms:W3CDTF">2019-10-22T07:17:44Z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