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85"/>
        <w:pBdr/>
        <w:spacing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5"/>
        <w:pBdr/>
        <w:spacing/>
        <w: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5"/>
        <w:pBdr/>
        <w:spacing/>
        <w: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5"/>
        <w:pBdr/>
        <w:spacing/>
        <w: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5"/>
        <w:pBdr/>
        <w:spacing/>
        <w: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5"/>
        <w:pBdr/>
        <w:spacing/>
        <w: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5"/>
        <w:pBdr/>
        <w:spacing/>
        <w: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5"/>
        <w:pBdr/>
        <w:spacing/>
        <w: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5"/>
        <w:pBdr/>
        <w:spacing/>
        <w: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5"/>
        <w:pBdr/>
        <w:spacing/>
        <w: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5"/>
        <w:pBdr/>
        <w:spacing/>
        <w: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5"/>
        <w:pBdr/>
        <w:spacing/>
        <w: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5"/>
        <w:pBdr/>
        <w:spacing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</w:t>
      </w:r>
      <w:r>
        <w:rPr>
          <w:rFonts w:ascii="Times New Roman" w:hAnsi="Times New Roman" w:cs="Times New Roman"/>
          <w:b/>
          <w:sz w:val="28"/>
          <w:szCs w:val="28"/>
        </w:rPr>
        <w:t xml:space="preserve"> внесении изменений в приказ Министерства по земельным и имущественным отношениям Респуб</w:t>
      </w:r>
      <w:r>
        <w:rPr>
          <w:rFonts w:ascii="Times New Roman" w:hAnsi="Times New Roman" w:cs="Times New Roman"/>
          <w:b/>
          <w:sz w:val="28"/>
          <w:szCs w:val="28"/>
        </w:rPr>
        <w:t xml:space="preserve">лики Дагестан от </w:t>
      </w:r>
      <w:r>
        <w:rPr>
          <w:rFonts w:ascii="Times New Roman" w:hAnsi="Times New Roman" w:cs="Times New Roman"/>
          <w:b/>
          <w:sz w:val="28"/>
          <w:szCs w:val="28"/>
        </w:rPr>
        <w:t xml:space="preserve">15 мая 2026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г.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№ </w:t>
      </w:r>
      <w:r>
        <w:rPr>
          <w:rFonts w:ascii="Times New Roman" w:hAnsi="Times New Roman" w:cs="Times New Roman"/>
          <w:b/>
          <w:sz w:val="28"/>
          <w:szCs w:val="28"/>
        </w:rPr>
        <w:t xml:space="preserve">369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85"/>
        <w:pBdr/>
        <w:spacing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Bdr/>
        <w:spacing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частью 6 статьи 15 и статьи 21 Федерального закона </w:t>
      </w:r>
      <w:r>
        <w:rPr>
          <w:sz w:val="28"/>
          <w:szCs w:val="28"/>
        </w:rPr>
        <w:br/>
        <w:t xml:space="preserve">от 3 июля 2016 года № 237-ФЗ «О государственной кадастровой оценке» (Собрание законодательства Российской Федерации, 2016, № 27, ст. 4170; </w:t>
      </w:r>
      <w:r>
        <w:rPr>
          <w:sz w:val="28"/>
          <w:szCs w:val="28"/>
        </w:rPr>
        <w:t xml:space="preserve">2025, </w:t>
      </w:r>
      <w:r>
        <w:rPr>
          <w:sz w:val="28"/>
          <w:szCs w:val="28"/>
        </w:rPr>
        <w:t xml:space="preserve">№ 52, </w:t>
      </w:r>
      <w:r>
        <w:rPr>
          <w:sz w:val="28"/>
          <w:szCs w:val="28"/>
        </w:rPr>
        <w:br/>
        <w:t xml:space="preserve">ст. 8300</w:t>
      </w:r>
      <w:r>
        <w:rPr>
          <w:rFonts w:eastAsiaTheme="minorHAnsi"/>
          <w:sz w:val="28"/>
          <w:szCs w:val="28"/>
          <w:lang w:eastAsia="en-US"/>
        </w:rPr>
        <w:t xml:space="preserve">)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Положением Министерства по земельным и имущественным отношениям Республики Дагестан, утвержденным постановлением Правительства Республики Дагестан от 17 мая 2018 года № 48 «Вопросы Министерства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по земельным и имущественным отношениям Республики Дагестан» (о</w:t>
      </w:r>
      <w:r>
        <w:rPr>
          <w:sz w:val="28"/>
          <w:szCs w:val="28"/>
        </w:rPr>
        <w:t xml:space="preserve">фициальный интернет-портал правовой информации </w:t>
      </w:r>
      <w:r>
        <w:rPr>
          <w:sz w:val="28"/>
          <w:szCs w:val="28"/>
        </w:rPr>
        <w:t xml:space="preserve">(</w:t>
      </w:r>
      <w:hyperlink r:id="rId11" w:tooltip="http://www.pravo.gov.ru" w:history="1">
        <w:r>
          <w:rPr>
            <w:rStyle w:val="696"/>
            <w:color w:val="auto"/>
            <w:sz w:val="28"/>
            <w:szCs w:val="28"/>
            <w:u w:val="none"/>
          </w:rPr>
          <w:t xml:space="preserve">www.pravo.gov.ru</w:t>
        </w:r>
      </w:hyperlink>
      <w:r>
        <w:rPr>
          <w:rStyle w:val="696"/>
          <w:color w:val="auto"/>
          <w:sz w:val="28"/>
          <w:szCs w:val="28"/>
          <w:u w:val="none"/>
        </w:rPr>
        <w:t xml:space="preserve">)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2018,</w:t>
      </w:r>
      <w:r>
        <w:rPr>
          <w:sz w:val="28"/>
          <w:szCs w:val="28"/>
        </w:rPr>
        <w:t xml:space="preserve"> 28</w:t>
      </w:r>
      <w:r>
        <w:rPr>
          <w:sz w:val="28"/>
          <w:szCs w:val="28"/>
        </w:rPr>
        <w:t xml:space="preserve"> мая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0500201805280007</w:t>
      </w:r>
      <w:r>
        <w:rPr>
          <w:sz w:val="28"/>
          <w:szCs w:val="28"/>
        </w:rPr>
        <w:t xml:space="preserve">;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 xml:space="preserve">интернет-портал правовой информации Республики Дагестан </w:t>
      </w:r>
      <w:r>
        <w:rPr>
          <w:sz w:val="28"/>
          <w:szCs w:val="28"/>
        </w:rPr>
        <w:t xml:space="preserve">(</w:t>
      </w:r>
      <w:r>
        <w:rPr>
          <w:sz w:val="28"/>
          <w:szCs w:val="28"/>
          <w:lang w:val="en-US"/>
        </w:rPr>
        <w:t xml:space="preserve">www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pravo.e-dag.ru</w:t>
      </w:r>
      <w:r>
        <w:rPr>
          <w:sz w:val="28"/>
          <w:szCs w:val="28"/>
        </w:rPr>
        <w:t xml:space="preserve">),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Style w:val="696"/>
          <w:color w:val="auto"/>
          <w:sz w:val="28"/>
          <w:szCs w:val="28"/>
          <w:u w:val="none"/>
        </w:rPr>
        <w:t xml:space="preserve">2026, </w:t>
      </w:r>
      <w:r>
        <w:rPr>
          <w:rStyle w:val="696"/>
          <w:color w:val="auto"/>
          <w:sz w:val="28"/>
          <w:szCs w:val="28"/>
          <w:u w:val="none"/>
        </w:rPr>
        <w:t xml:space="preserve">24 апреля</w:t>
      </w:r>
      <w:r>
        <w:rPr>
          <w:rStyle w:val="696"/>
          <w:color w:val="auto"/>
          <w:sz w:val="28"/>
          <w:szCs w:val="28"/>
          <w:u w:val="none"/>
        </w:rPr>
        <w:t xml:space="preserve">, № 0</w:t>
      </w:r>
      <w:r>
        <w:rPr>
          <w:rStyle w:val="696"/>
          <w:color w:val="auto"/>
          <w:sz w:val="28"/>
          <w:szCs w:val="28"/>
          <w:u w:val="none"/>
        </w:rPr>
        <w:t xml:space="preserve">5002018111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с учетом </w:t>
      </w:r>
      <w:r>
        <w:rPr>
          <w:sz w:val="28"/>
          <w:szCs w:val="28"/>
        </w:rPr>
        <w:t xml:space="preserve">решени</w:t>
      </w:r>
      <w:r>
        <w:rPr>
          <w:sz w:val="28"/>
          <w:szCs w:val="28"/>
        </w:rPr>
        <w:t xml:space="preserve">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ГБУ РД «</w:t>
      </w:r>
      <w:r>
        <w:rPr>
          <w:sz w:val="28"/>
          <w:szCs w:val="28"/>
        </w:rPr>
        <w:t xml:space="preserve">Дагтехкадастр</w:t>
      </w:r>
      <w:r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о пересчете кадастровой </w:t>
      </w:r>
      <w:r>
        <w:rPr>
          <w:sz w:val="28"/>
          <w:szCs w:val="28"/>
        </w:rPr>
        <w:t xml:space="preserve">стоимости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августа 2026</w:t>
      </w:r>
      <w:r>
        <w:rPr>
          <w:sz w:val="28"/>
          <w:szCs w:val="28"/>
        </w:rPr>
        <w:t xml:space="preserve"> г. </w:t>
      </w:r>
      <w:r>
        <w:rPr>
          <w:sz w:val="28"/>
          <w:szCs w:val="28"/>
        </w:rPr>
        <w:t xml:space="preserve">№ 11.17.-исх-ГКО-</w:t>
      </w:r>
      <w:r>
        <w:rPr>
          <w:sz w:val="28"/>
          <w:szCs w:val="28"/>
        </w:rPr>
        <w:t xml:space="preserve">1522/26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 р и к а з ы в а ю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</w:p>
    <w:p>
      <w:pPr>
        <w:pStyle w:val="685"/>
        <w:numPr>
          <w:ilvl w:val="0"/>
          <w:numId w:val="3"/>
        </w:numPr>
        <w:pBdr/>
        <w:tabs>
          <w:tab w:val="left" w:leader="none" w:pos="993"/>
        </w:tabs>
        <w:spacing w:line="360" w:lineRule="auto"/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</w:t>
      </w:r>
      <w:r>
        <w:rPr>
          <w:rFonts w:ascii="Times New Roman" w:hAnsi="Times New Roman" w:cs="Times New Roman"/>
          <w:sz w:val="28"/>
          <w:szCs w:val="28"/>
        </w:rPr>
        <w:t xml:space="preserve">в подпункт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а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пункта 1 </w:t>
      </w:r>
      <w:r>
        <w:rPr>
          <w:rFonts w:ascii="Times New Roman" w:hAnsi="Times New Roman" w:cs="Times New Roman"/>
          <w:sz w:val="28"/>
          <w:szCs w:val="28"/>
        </w:rPr>
        <w:t xml:space="preserve">приказ</w:t>
      </w:r>
      <w:r>
        <w:rPr>
          <w:rFonts w:ascii="Times New Roman" w:hAnsi="Times New Roman" w:cs="Times New Roman"/>
          <w:sz w:val="28"/>
          <w:szCs w:val="28"/>
        </w:rPr>
        <w:t xml:space="preserve">а</w:t>
      </w:r>
      <w:r>
        <w:rPr>
          <w:rFonts w:ascii="Times New Roman" w:hAnsi="Times New Roman" w:cs="Times New Roman"/>
          <w:sz w:val="28"/>
          <w:szCs w:val="28"/>
        </w:rPr>
        <w:t xml:space="preserve"> Министерства </w:t>
      </w:r>
      <w:r>
        <w:rPr>
          <w:rFonts w:ascii="Times New Roman" w:hAnsi="Times New Roman" w:cs="Times New Roman"/>
          <w:sz w:val="28"/>
          <w:szCs w:val="28"/>
        </w:rPr>
        <w:t xml:space="preserve">по земельным и имущественным отношениям</w:t>
      </w:r>
      <w:r>
        <w:rPr>
          <w:rFonts w:ascii="Times New Roman" w:hAnsi="Times New Roman" w:cs="Times New Roman"/>
          <w:sz w:val="28"/>
          <w:szCs w:val="28"/>
        </w:rPr>
        <w:t xml:space="preserve"> Республики Даге</w:t>
      </w:r>
      <w:r>
        <w:rPr>
          <w:rFonts w:ascii="Times New Roman" w:hAnsi="Times New Roman" w:cs="Times New Roman"/>
          <w:sz w:val="28"/>
          <w:szCs w:val="28"/>
        </w:rPr>
        <w:t xml:space="preserve">с</w:t>
      </w:r>
      <w:r>
        <w:rPr>
          <w:rFonts w:ascii="Times New Roman" w:hAnsi="Times New Roman" w:cs="Times New Roman"/>
          <w:sz w:val="28"/>
          <w:szCs w:val="28"/>
        </w:rPr>
        <w:t xml:space="preserve">тан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15 мая 2026 г. № 369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«О</w:t>
      </w:r>
      <w:r>
        <w:rPr>
          <w:rFonts w:ascii="Times New Roman" w:hAnsi="Times New Roman" w:cs="Times New Roman"/>
          <w:sz w:val="28"/>
          <w:szCs w:val="28"/>
        </w:rPr>
        <w:t xml:space="preserve"> внесении изменений в приказ Министерства по земельным и имущественным отношениям Республики Дагестан от 11 ноября 2022 г. № 204» </w:t>
      </w:r>
      <w:r>
        <w:rPr>
          <w:rFonts w:ascii="Times New Roman" w:hAnsi="Times New Roman" w:cs="Times New Roman"/>
          <w:sz w:val="28"/>
          <w:szCs w:val="28"/>
        </w:rPr>
        <w:t xml:space="preserve">(</w:t>
      </w:r>
      <w:bookmarkStart w:id="0" w:name="_Hlk186186586"/>
      <w:r>
        <w:rPr>
          <w:rFonts w:ascii="Times New Roman" w:hAnsi="Times New Roman" w:cs="Times New Roman"/>
          <w:sz w:val="28"/>
          <w:szCs w:val="28"/>
        </w:rPr>
        <w:t xml:space="preserve">интернет-портал правовой информации Республики Дагестан </w:t>
      </w:r>
      <w:hyperlink r:id="rId12" w:tooltip="http://www.pravo.e-dag.ru" w:history="1">
        <w:r>
          <w:rPr>
            <w:rStyle w:val="696"/>
            <w:rFonts w:ascii="Times New Roman" w:hAnsi="Times New Roman" w:cs="Times New Roman"/>
            <w:sz w:val="28"/>
            <w:szCs w:val="28"/>
            <w:lang w:val="en-US"/>
          </w:rPr>
          <w:t xml:space="preserve">www</w:t>
        </w:r>
        <w:r>
          <w:rPr>
            <w:rStyle w:val="696"/>
            <w:rFonts w:ascii="Times New Roman" w:hAnsi="Times New Roman" w:cs="Times New Roman"/>
            <w:sz w:val="28"/>
            <w:szCs w:val="28"/>
          </w:rPr>
          <w:t xml:space="preserve">.pravo.e-dag.ru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2026, 3 июня,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№ 05032018336; зарегистрирован в Министерстве юстиции Республики Дагестан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3 июня 2026 г. </w:t>
      </w:r>
      <w:r>
        <w:rPr>
          <w:rFonts w:ascii="Times New Roman" w:hAnsi="Times New Roman" w:cs="Times New Roman"/>
          <w:sz w:val="28"/>
          <w:szCs w:val="28"/>
        </w:rPr>
        <w:t xml:space="preserve">за регистрационным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 9182</w:t>
      </w:r>
      <w:r>
        <w:rPr>
          <w:rFonts w:ascii="Times New Roman" w:hAnsi="Times New Roman" w:cs="Times New Roman"/>
          <w:sz w:val="28"/>
          <w:szCs w:val="28"/>
        </w:rPr>
        <w:t xml:space="preserve"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изменение</w:t>
      </w:r>
      <w:r>
        <w:rPr>
          <w:rFonts w:ascii="Times New Roman" w:hAnsi="Times New Roman" w:cs="Times New Roman"/>
          <w:sz w:val="28"/>
          <w:szCs w:val="28"/>
        </w:rPr>
        <w:t xml:space="preserve">, изложив </w:t>
      </w:r>
      <w:r>
        <w:rPr>
          <w:rFonts w:ascii="Times New Roman" w:hAnsi="Times New Roman" w:cs="Times New Roman"/>
          <w:sz w:val="28"/>
          <w:szCs w:val="28"/>
        </w:rPr>
        <w:t xml:space="preserve">п</w:t>
      </w:r>
      <w:r>
        <w:rPr>
          <w:rFonts w:ascii="Times New Roman" w:hAnsi="Times New Roman" w:cs="Times New Roman"/>
          <w:sz w:val="28"/>
          <w:szCs w:val="28"/>
        </w:rPr>
        <w:t xml:space="preserve">ункты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12630, 14985, 18673, 20301, 20309, 28376, 28083, 28087, 36209, 36324, 67486, 74724, 74743, 76954, 78172, 83143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следующей редакции:</w:t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W w:w="9634" w:type="dxa"/>
        <w:jc w:val="center"/>
        <w:tblBorders/>
        <w:tblLayout w:type="fixed"/>
        <w:tblLook w:val="04A0" w:firstRow="1" w:lastRow="0" w:firstColumn="1" w:lastColumn="0" w:noHBand="0" w:noVBand="1"/>
      </w:tblPr>
      <w:tblGrid>
        <w:gridCol w:w="2830"/>
        <w:gridCol w:w="3828"/>
        <w:gridCol w:w="2976"/>
      </w:tblGrid>
      <w:tr>
        <w:trPr>
          <w:jc w:val="center"/>
          <w:trHeight w:val="36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830" w:type="dxa"/>
            <w:vAlign w:val="center"/>
            <w:textDirection w:val="lrTb"/>
            <w:noWrap w:val="false"/>
          </w:tcPr>
          <w:p>
            <w:pPr>
              <w:pBdr/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/>
            <w:bookmarkStart w:id="1" w:name="_Hlk226382738"/>
            <w:r>
              <w:rPr>
                <w:sz w:val="28"/>
                <w:szCs w:val="28"/>
              </w:rPr>
              <w:t xml:space="preserve">«</w:t>
            </w:r>
            <w:r>
              <w:rPr>
                <w:sz w:val="28"/>
                <w:szCs w:val="28"/>
              </w:rPr>
              <w:t xml:space="preserve">12630</w:t>
            </w:r>
            <w:r>
              <w:rPr>
                <w:rFonts w:eastAsiaTheme="minorHAnsi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828" w:type="dxa"/>
            <w:vAlign w:val="center"/>
            <w:textDirection w:val="lrTb"/>
            <w:noWrap w:val="false"/>
          </w:tcPr>
          <w:p>
            <w:pPr>
              <w:pBdr/>
              <w:spacing w:line="336" w:lineRule="auto"/>
              <w:ind w:firstLine="0" w:left="1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05:03:000001:325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976" w:type="dxa"/>
            <w:vAlign w:val="center"/>
            <w:textDirection w:val="lrTb"/>
            <w:noWrap w:val="false"/>
          </w:tcPr>
          <w:p>
            <w:pPr>
              <w:pBdr/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25 130 761,08</w:t>
            </w:r>
            <w:r>
              <w:rPr>
                <w:sz w:val="28"/>
                <w:szCs w:val="28"/>
              </w:rPr>
            </w:r>
          </w:p>
        </w:tc>
      </w:tr>
      <w:tr>
        <w:trPr>
          <w:jc w:val="center"/>
          <w:trHeight w:val="36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830" w:type="dxa"/>
            <w:vAlign w:val="center"/>
            <w:textDirection w:val="lrTb"/>
            <w:noWrap w:val="false"/>
          </w:tcPr>
          <w:p>
            <w:pPr>
              <w:pBdr/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14985</w:t>
            </w:r>
            <w:r>
              <w:rPr>
                <w:rFonts w:eastAsiaTheme="minorHAnsi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828" w:type="dxa"/>
            <w:vAlign w:val="center"/>
            <w:textDirection w:val="lrTb"/>
            <w:noWrap w:val="false"/>
          </w:tcPr>
          <w:p>
            <w:pPr>
              <w:pBdr/>
              <w:spacing w:line="336" w:lineRule="auto"/>
              <w:ind w:firstLine="0" w:left="1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05:01:000054:9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976" w:type="dxa"/>
            <w:vAlign w:val="center"/>
            <w:textDirection w:val="lrTb"/>
            <w:noWrap w:val="false"/>
          </w:tcPr>
          <w:p>
            <w:pPr>
              <w:pBdr/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40 324 329,53</w:t>
            </w:r>
            <w:r>
              <w:rPr>
                <w:sz w:val="28"/>
                <w:szCs w:val="28"/>
              </w:rPr>
            </w:r>
          </w:p>
        </w:tc>
      </w:tr>
      <w:tr>
        <w:trPr>
          <w:jc w:val="center"/>
          <w:trHeight w:val="36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830" w:type="dxa"/>
            <w:vAlign w:val="center"/>
            <w:textDirection w:val="lrTb"/>
            <w:noWrap w:val="false"/>
          </w:tcPr>
          <w:p>
            <w:pPr>
              <w:pBdr/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18673</w:t>
            </w:r>
            <w:r>
              <w:rPr>
                <w:rFonts w:eastAsiaTheme="minorHAnsi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828" w:type="dxa"/>
            <w:vAlign w:val="center"/>
            <w:textDirection w:val="lrTb"/>
            <w:noWrap w:val="false"/>
          </w:tcPr>
          <w:p>
            <w:pPr>
              <w:pBdr/>
              <w:spacing w:line="336" w:lineRule="auto"/>
              <w:ind w:firstLine="0" w:left="1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05:03:000007:666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976" w:type="dxa"/>
            <w:vAlign w:val="center"/>
            <w:textDirection w:val="lrTb"/>
            <w:noWrap w:val="false"/>
          </w:tcPr>
          <w:p>
            <w:pPr>
              <w:pBdr/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30 960 000,00</w:t>
            </w:r>
            <w:r>
              <w:rPr>
                <w:sz w:val="28"/>
                <w:szCs w:val="28"/>
              </w:rPr>
            </w:r>
          </w:p>
        </w:tc>
      </w:tr>
      <w:tr>
        <w:trPr>
          <w:jc w:val="center"/>
          <w:trHeight w:val="36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830" w:type="dxa"/>
            <w:vAlign w:val="center"/>
            <w:textDirection w:val="lrTb"/>
            <w:noWrap w:val="false"/>
          </w:tcPr>
          <w:p>
            <w:pPr>
              <w:pBdr/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20301</w:t>
            </w:r>
            <w:r>
              <w:rPr>
                <w:rFonts w:eastAsiaTheme="minorHAnsi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828" w:type="dxa"/>
            <w:vAlign w:val="center"/>
            <w:textDirection w:val="lrTb"/>
            <w:noWrap w:val="false"/>
          </w:tcPr>
          <w:p>
            <w:pPr>
              <w:pBdr/>
              <w:spacing w:line="336" w:lineRule="auto"/>
              <w:ind w:firstLine="0" w:left="1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05:03:000001:253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976" w:type="dxa"/>
            <w:vAlign w:val="center"/>
            <w:textDirection w:val="lrTb"/>
            <w:noWrap w:val="false"/>
          </w:tcPr>
          <w:p>
            <w:pPr>
              <w:pBdr/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28 535 398,61</w:t>
            </w:r>
            <w:r>
              <w:rPr>
                <w:sz w:val="28"/>
                <w:szCs w:val="28"/>
              </w:rPr>
            </w:r>
          </w:p>
        </w:tc>
      </w:tr>
      <w:tr>
        <w:trPr>
          <w:jc w:val="center"/>
          <w:trHeight w:val="36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830" w:type="dxa"/>
            <w:vAlign w:val="center"/>
            <w:textDirection w:val="lrTb"/>
            <w:noWrap w:val="false"/>
          </w:tcPr>
          <w:p>
            <w:pPr>
              <w:pBdr/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20309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828" w:type="dxa"/>
            <w:vAlign w:val="center"/>
            <w:textDirection w:val="lrTb"/>
            <w:noWrap w:val="false"/>
          </w:tcPr>
          <w:p>
            <w:pPr>
              <w:pBdr/>
              <w:spacing w:line="336" w:lineRule="auto"/>
              <w:ind w:firstLine="0" w:left="1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05:03:000007:644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976" w:type="dxa"/>
            <w:vAlign w:val="center"/>
            <w:textDirection w:val="lrTb"/>
            <w:noWrap w:val="false"/>
          </w:tcPr>
          <w:p>
            <w:pPr>
              <w:pBdr/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68 800 000,00</w:t>
            </w:r>
            <w:r>
              <w:rPr>
                <w:sz w:val="28"/>
                <w:szCs w:val="28"/>
              </w:rPr>
            </w:r>
          </w:p>
        </w:tc>
      </w:tr>
      <w:tr>
        <w:trPr>
          <w:jc w:val="center"/>
          <w:trHeight w:val="36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830" w:type="dxa"/>
            <w:vAlign w:val="center"/>
            <w:textDirection w:val="lrTb"/>
            <w:noWrap w:val="false"/>
          </w:tcPr>
          <w:p>
            <w:pPr>
              <w:pBdr/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28376</w:t>
            </w:r>
            <w:r>
              <w:rPr>
                <w:rFonts w:eastAsiaTheme="minorHAnsi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828" w:type="dxa"/>
            <w:vAlign w:val="center"/>
            <w:textDirection w:val="lrTb"/>
            <w:noWrap w:val="false"/>
          </w:tcPr>
          <w:p>
            <w:pPr>
              <w:pBdr/>
              <w:spacing w:line="336" w:lineRule="auto"/>
              <w:ind w:firstLine="0" w:left="1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05:03:000001:345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976" w:type="dxa"/>
            <w:vAlign w:val="center"/>
            <w:textDirection w:val="lrTb"/>
            <w:noWrap w:val="false"/>
          </w:tcPr>
          <w:p>
            <w:pPr>
              <w:pBdr/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37 904 297,00</w:t>
            </w:r>
            <w:r>
              <w:rPr>
                <w:sz w:val="28"/>
                <w:szCs w:val="28"/>
              </w:rPr>
            </w:r>
          </w:p>
        </w:tc>
      </w:tr>
      <w:tr>
        <w:trPr>
          <w:jc w:val="center"/>
          <w:trHeight w:val="36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830" w:type="dxa"/>
            <w:vAlign w:val="center"/>
            <w:textDirection w:val="lrTb"/>
            <w:noWrap w:val="false"/>
          </w:tcPr>
          <w:p>
            <w:pPr>
              <w:pBdr/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28083</w:t>
            </w:r>
            <w:r>
              <w:rPr>
                <w:rFonts w:eastAsiaTheme="minorHAnsi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828" w:type="dxa"/>
            <w:vAlign w:val="center"/>
            <w:textDirection w:val="lrTb"/>
            <w:noWrap w:val="false"/>
          </w:tcPr>
          <w:p>
            <w:pPr>
              <w:pBdr/>
              <w:spacing w:line="336" w:lineRule="auto"/>
              <w:ind w:firstLine="0" w:left="1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05:03:000001:250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976" w:type="dxa"/>
            <w:vAlign w:val="center"/>
            <w:textDirection w:val="lrTb"/>
            <w:noWrap w:val="false"/>
          </w:tcPr>
          <w:p>
            <w:pPr>
              <w:pBdr/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28 361 542,09</w:t>
            </w:r>
            <w:r>
              <w:rPr>
                <w:sz w:val="28"/>
                <w:szCs w:val="28"/>
              </w:rPr>
            </w:r>
          </w:p>
        </w:tc>
      </w:tr>
      <w:tr>
        <w:trPr>
          <w:jc w:val="center"/>
          <w:trHeight w:val="36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830" w:type="dxa"/>
            <w:vAlign w:val="center"/>
            <w:textDirection w:val="lrTb"/>
            <w:noWrap w:val="false"/>
          </w:tcPr>
          <w:p>
            <w:pPr>
              <w:pBdr/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28087</w:t>
            </w:r>
            <w:r>
              <w:rPr>
                <w:rFonts w:eastAsiaTheme="minorHAnsi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828" w:type="dxa"/>
            <w:vAlign w:val="center"/>
            <w:textDirection w:val="lrTb"/>
            <w:noWrap w:val="false"/>
          </w:tcPr>
          <w:p>
            <w:pPr>
              <w:pBdr/>
              <w:spacing w:line="336" w:lineRule="auto"/>
              <w:ind w:firstLine="0" w:left="1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05:03:000001:335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976" w:type="dxa"/>
            <w:vAlign w:val="center"/>
            <w:textDirection w:val="lrTb"/>
            <w:noWrap w:val="false"/>
          </w:tcPr>
          <w:p>
            <w:pPr>
              <w:pBdr/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21 540 000,00</w:t>
            </w:r>
            <w:r>
              <w:rPr>
                <w:sz w:val="28"/>
                <w:szCs w:val="28"/>
              </w:rPr>
            </w:r>
          </w:p>
        </w:tc>
      </w:tr>
      <w:tr>
        <w:trPr>
          <w:jc w:val="center"/>
          <w:trHeight w:val="36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830" w:type="dxa"/>
            <w:vAlign w:val="center"/>
            <w:textDirection w:val="lrTb"/>
            <w:noWrap w:val="false"/>
          </w:tcPr>
          <w:p>
            <w:pPr>
              <w:pBdr/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36209</w:t>
            </w:r>
            <w:r>
              <w:rPr>
                <w:rFonts w:eastAsiaTheme="minorHAnsi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828" w:type="dxa"/>
            <w:vAlign w:val="center"/>
            <w:textDirection w:val="lrTb"/>
            <w:noWrap w:val="false"/>
          </w:tcPr>
          <w:p>
            <w:pPr>
              <w:pBdr/>
              <w:spacing w:line="336" w:lineRule="auto"/>
              <w:ind w:firstLine="0" w:left="1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05:04:000111:1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976" w:type="dxa"/>
            <w:vAlign w:val="center"/>
            <w:textDirection w:val="lrTb"/>
            <w:noWrap w:val="false"/>
          </w:tcPr>
          <w:p>
            <w:pPr>
              <w:pBdr/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32 160 091,12</w:t>
            </w:r>
            <w:r>
              <w:rPr>
                <w:sz w:val="28"/>
                <w:szCs w:val="28"/>
              </w:rPr>
            </w:r>
          </w:p>
        </w:tc>
      </w:tr>
      <w:tr>
        <w:trPr>
          <w:jc w:val="center"/>
          <w:trHeight w:val="36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830" w:type="dxa"/>
            <w:vAlign w:val="center"/>
            <w:textDirection w:val="lrTb"/>
            <w:noWrap w:val="false"/>
          </w:tcPr>
          <w:p>
            <w:pPr>
              <w:pBdr/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36324</w:t>
            </w:r>
            <w:r>
              <w:rPr>
                <w:rFonts w:eastAsiaTheme="minorHAnsi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828" w:type="dxa"/>
            <w:vAlign w:val="center"/>
            <w:textDirection w:val="lrTb"/>
            <w:noWrap w:val="false"/>
          </w:tcPr>
          <w:p>
            <w:pPr>
              <w:pBdr/>
              <w:spacing w:line="336" w:lineRule="auto"/>
              <w:ind w:firstLine="0" w:left="1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05:03:000001:1543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976" w:type="dxa"/>
            <w:vAlign w:val="center"/>
            <w:textDirection w:val="lrTb"/>
            <w:noWrap w:val="false"/>
          </w:tcPr>
          <w:p>
            <w:pPr>
              <w:pBdr/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118 388 532,13</w:t>
            </w:r>
            <w:r>
              <w:rPr>
                <w:sz w:val="28"/>
                <w:szCs w:val="28"/>
              </w:rPr>
            </w:r>
          </w:p>
        </w:tc>
      </w:tr>
      <w:tr>
        <w:trPr>
          <w:jc w:val="center"/>
          <w:trHeight w:val="36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830" w:type="dxa"/>
            <w:vAlign w:val="center"/>
            <w:textDirection w:val="lrTb"/>
            <w:noWrap w:val="false"/>
          </w:tcPr>
          <w:p>
            <w:pPr>
              <w:pBdr/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67486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828" w:type="dxa"/>
            <w:vAlign w:val="center"/>
            <w:textDirection w:val="lrTb"/>
            <w:noWrap w:val="false"/>
          </w:tcPr>
          <w:p>
            <w:pPr>
              <w:pBdr/>
              <w:spacing w:line="336" w:lineRule="auto"/>
              <w:ind w:firstLine="0" w:left="1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05:03:000001:220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976" w:type="dxa"/>
            <w:vAlign w:val="center"/>
            <w:textDirection w:val="lrTb"/>
            <w:noWrap w:val="false"/>
          </w:tcPr>
          <w:p>
            <w:pPr>
              <w:pBdr/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27 329 741,62</w:t>
            </w:r>
            <w:r>
              <w:rPr>
                <w:sz w:val="28"/>
                <w:szCs w:val="28"/>
              </w:rPr>
            </w:r>
          </w:p>
        </w:tc>
      </w:tr>
      <w:tr>
        <w:trPr>
          <w:jc w:val="center"/>
          <w:trHeight w:val="36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830" w:type="dxa"/>
            <w:vAlign w:val="center"/>
            <w:textDirection w:val="lrTb"/>
            <w:noWrap w:val="false"/>
          </w:tcPr>
          <w:p>
            <w:pPr>
              <w:pBdr/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74724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828" w:type="dxa"/>
            <w:vAlign w:val="center"/>
            <w:textDirection w:val="lrTb"/>
            <w:noWrap w:val="false"/>
          </w:tcPr>
          <w:p>
            <w:pPr>
              <w:pBdr/>
              <w:spacing w:line="336" w:lineRule="auto"/>
              <w:ind w:firstLine="0" w:left="1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05:03:000005:1016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976" w:type="dxa"/>
            <w:vAlign w:val="center"/>
            <w:textDirection w:val="lrTb"/>
            <w:noWrap w:val="false"/>
          </w:tcPr>
          <w:p>
            <w:pPr>
              <w:pBdr/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17 411 500,00</w:t>
            </w:r>
            <w:r>
              <w:rPr>
                <w:sz w:val="28"/>
                <w:szCs w:val="28"/>
              </w:rPr>
            </w:r>
          </w:p>
        </w:tc>
      </w:tr>
      <w:tr>
        <w:trPr>
          <w:jc w:val="center"/>
          <w:trHeight w:val="36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830" w:type="dxa"/>
            <w:vAlign w:val="center"/>
            <w:textDirection w:val="lrTb"/>
            <w:noWrap w:val="false"/>
          </w:tcPr>
          <w:p>
            <w:pPr>
              <w:pBdr/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74743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828" w:type="dxa"/>
            <w:vAlign w:val="center"/>
            <w:textDirection w:val="lrTb"/>
            <w:noWrap w:val="false"/>
          </w:tcPr>
          <w:p>
            <w:pPr>
              <w:pBdr/>
              <w:spacing w:line="336" w:lineRule="auto"/>
              <w:ind w:firstLine="0" w:left="1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05:03:000005:1689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976" w:type="dxa"/>
            <w:vAlign w:val="center"/>
            <w:textDirection w:val="lrTb"/>
            <w:noWrap w:val="false"/>
          </w:tcPr>
          <w:p>
            <w:pPr>
              <w:pBdr/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53 040 896,57</w:t>
            </w:r>
            <w:r>
              <w:rPr>
                <w:sz w:val="28"/>
                <w:szCs w:val="28"/>
              </w:rPr>
            </w:r>
          </w:p>
        </w:tc>
      </w:tr>
      <w:tr>
        <w:trPr>
          <w:jc w:val="center"/>
          <w:trHeight w:val="36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830" w:type="dxa"/>
            <w:vAlign w:val="center"/>
            <w:textDirection w:val="lrTb"/>
            <w:noWrap w:val="false"/>
          </w:tcPr>
          <w:p>
            <w:pPr>
              <w:pBdr/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76954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828" w:type="dxa"/>
            <w:vAlign w:val="center"/>
            <w:textDirection w:val="lrTb"/>
            <w:noWrap w:val="false"/>
          </w:tcPr>
          <w:p>
            <w:pPr>
              <w:pBdr/>
              <w:spacing w:line="336" w:lineRule="auto"/>
              <w:ind w:firstLine="0" w:left="1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05:03:000001:1034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976" w:type="dxa"/>
            <w:vAlign w:val="center"/>
            <w:textDirection w:val="lrTb"/>
            <w:noWrap w:val="false"/>
          </w:tcPr>
          <w:p>
            <w:pPr>
              <w:pBdr/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37 804 193,44</w:t>
            </w:r>
            <w:r>
              <w:rPr>
                <w:sz w:val="28"/>
                <w:szCs w:val="28"/>
              </w:rPr>
            </w:r>
          </w:p>
        </w:tc>
      </w:tr>
      <w:tr>
        <w:trPr>
          <w:jc w:val="center"/>
          <w:trHeight w:val="36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830" w:type="dxa"/>
            <w:vAlign w:val="center"/>
            <w:textDirection w:val="lrTb"/>
            <w:noWrap w:val="false"/>
          </w:tcPr>
          <w:p>
            <w:pPr>
              <w:pBdr/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78172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828" w:type="dxa"/>
            <w:vAlign w:val="center"/>
            <w:textDirection w:val="lrTb"/>
            <w:noWrap w:val="false"/>
          </w:tcPr>
          <w:p>
            <w:pPr>
              <w:pBdr/>
              <w:spacing w:line="336" w:lineRule="auto"/>
              <w:ind w:firstLine="0" w:left="1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05:01:000055:16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976" w:type="dxa"/>
            <w:vAlign w:val="center"/>
            <w:textDirection w:val="lrTb"/>
            <w:noWrap w:val="false"/>
          </w:tcPr>
          <w:p>
            <w:pPr>
              <w:pBdr/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47 711 592,03</w:t>
            </w:r>
            <w:r>
              <w:rPr>
                <w:sz w:val="28"/>
                <w:szCs w:val="28"/>
              </w:rPr>
            </w:r>
          </w:p>
        </w:tc>
      </w:tr>
      <w:tr>
        <w:trPr>
          <w:jc w:val="center"/>
          <w:trHeight w:val="36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830" w:type="dxa"/>
            <w:vAlign w:val="center"/>
            <w:textDirection w:val="lrTb"/>
            <w:noWrap w:val="false"/>
          </w:tcPr>
          <w:p>
            <w:pPr>
              <w:pBdr/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83143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828" w:type="dxa"/>
            <w:vAlign w:val="center"/>
            <w:textDirection w:val="lrTb"/>
            <w:noWrap w:val="false"/>
          </w:tcPr>
          <w:p>
            <w:pPr>
              <w:pBdr/>
              <w:spacing w:line="336" w:lineRule="auto"/>
              <w:ind w:firstLine="0" w:left="1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05:02:000134:1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976" w:type="dxa"/>
            <w:vAlign w:val="center"/>
            <w:textDirection w:val="lrTb"/>
            <w:noWrap w:val="false"/>
          </w:tcPr>
          <w:p>
            <w:pPr>
              <w:pBdr/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122 569 675,93».</w:t>
            </w:r>
            <w:bookmarkEnd w:id="1"/>
            <w:r>
              <w:rPr>
                <w:sz w:val="28"/>
                <w:szCs w:val="28"/>
              </w:rPr>
            </w:r>
          </w:p>
        </w:tc>
      </w:tr>
    </w:tbl>
    <w:p>
      <w:pPr>
        <w:pStyle w:val="685"/>
        <w:pBdr/>
        <w:spacing w:line="276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5"/>
        <w:numPr>
          <w:ilvl w:val="0"/>
          <w:numId w:val="3"/>
        </w:numPr>
        <w:pBdr/>
        <w:tabs>
          <w:tab w:val="left" w:leader="none" w:pos="993"/>
        </w:tabs>
        <w:spacing w:line="360" w:lineRule="auto"/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Управлению экономики и проверок порядка использования государственного имущества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5"/>
        <w:pBdr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обеспечить направление в течение семи дней со дня подписания настоящего приказа в Министерство юстиции Республики Дагестан на государственную регистрацию;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5"/>
        <w:pBdr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в течени</w:t>
      </w:r>
      <w:r>
        <w:rPr>
          <w:rFonts w:ascii="Times New Roman" w:hAnsi="Times New Roman" w:cs="Times New Roman"/>
          <w:sz w:val="28"/>
          <w:szCs w:val="28"/>
        </w:rPr>
        <w:t xml:space="preserve">е</w:t>
      </w:r>
      <w:r>
        <w:rPr>
          <w:rFonts w:ascii="Times New Roman" w:hAnsi="Times New Roman" w:cs="Times New Roman"/>
          <w:sz w:val="28"/>
          <w:szCs w:val="28"/>
        </w:rPr>
        <w:t xml:space="preserve"> трех рабочих дней со дня вступления в силу настоящего приказа направить его копию с указанием сведений о датах его официального опубликования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а также сведения об основаниях внесения изменений в акт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об утверждении результатов определения кадастровой стоимости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Федеральную службу государственной регистрации, кадастра и картографии для внесения соответствующих сведений о кадастровой стоимости объектов недвижимого имущества в Единый государственный реестр недвижимости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5"/>
        <w:pBdr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направить копию настоящего приказа в Управление Министерства юстиции Российской Федерации по Республике Дагестан в семидневный срок после дня </w:t>
      </w:r>
      <w:r>
        <w:rPr>
          <w:rFonts w:ascii="Times New Roman" w:hAnsi="Times New Roman" w:cs="Times New Roman"/>
          <w:sz w:val="28"/>
          <w:szCs w:val="28"/>
        </w:rPr>
        <w:t xml:space="preserve">первого официального опубликования с указанием сведений об источниках его официального опубликования и в Прокуратуру Республики Дагестан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 семидневный срок после дня первого официального опубликования с указанием сведений об источниках его официального опубликовани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я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5"/>
        <w:pBdr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Управлению государственной службы, информатизации и документационного обеспечения </w:t>
      </w:r>
      <w:r>
        <w:rPr>
          <w:rFonts w:ascii="Times New Roman" w:hAnsi="Times New Roman" w:cs="Times New Roman"/>
          <w:sz w:val="28"/>
          <w:szCs w:val="28"/>
        </w:rPr>
        <w:t xml:space="preserve">обеспечить направление настоящего приказа </w:t>
      </w:r>
      <w:r>
        <w:rPr>
          <w:rFonts w:ascii="Times New Roman" w:hAnsi="Times New Roman" w:cs="Times New Roman"/>
          <w:sz w:val="28"/>
          <w:szCs w:val="28"/>
        </w:rPr>
        <w:t xml:space="preserve">в установленном порядке на электронный адрес Управления Главы Республики Дагестан по информационной политике для его размещения (опубликования) на официальном сайте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Главы и Правительства </w:t>
      </w:r>
      <w:r>
        <w:rPr>
          <w:rFonts w:ascii="Times New Roman" w:hAnsi="Times New Roman" w:cs="Times New Roman"/>
          <w:sz w:val="28"/>
          <w:szCs w:val="28"/>
        </w:rPr>
        <w:t xml:space="preserve">Республики Дагестан в информационно - телекоммуникационной сети «Интернет»,</w:t>
      </w:r>
      <w:r>
        <w:rPr>
          <w:rFonts w:ascii="Times New Roman" w:hAnsi="Times New Roman" w:cs="Times New Roman"/>
          <w:sz w:val="28"/>
          <w:szCs w:val="28"/>
        </w:rPr>
        <w:t xml:space="preserve"> а также его размещение на официальном сайте Министерства по земельным и имущественным отношениям Республики Дагестан в разделе «Деятельность/Государственная кадастровая оценка/Результаты государственной кадастровой оценки»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5"/>
        <w:pBdr/>
        <w:tabs>
          <w:tab w:val="left" w:leader="none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Настоящий приказ </w:t>
      </w:r>
      <w:r>
        <w:rPr>
          <w:rFonts w:ascii="Times New Roman" w:hAnsi="Times New Roman" w:cs="Times New Roman"/>
          <w:sz w:val="28"/>
          <w:szCs w:val="28"/>
        </w:rPr>
        <w:t xml:space="preserve">вступает в силу с момента</w:t>
      </w:r>
      <w:r>
        <w:rPr>
          <w:rFonts w:ascii="Times New Roman" w:hAnsi="Times New Roman" w:cs="Times New Roman"/>
          <w:sz w:val="28"/>
          <w:szCs w:val="28"/>
        </w:rPr>
        <w:t xml:space="preserve"> его</w:t>
      </w:r>
      <w:r>
        <w:rPr>
          <w:rFonts w:ascii="Times New Roman" w:hAnsi="Times New Roman" w:cs="Times New Roman"/>
          <w:sz w:val="28"/>
          <w:szCs w:val="28"/>
        </w:rPr>
        <w:t xml:space="preserve"> официального опубликования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5"/>
        <w:pBdr/>
        <w:tabs>
          <w:tab w:val="left" w:leader="none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приказа оставляю за собой.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5"/>
        <w:pBdr/>
        <w:tabs>
          <w:tab w:val="left" w:leader="none" w:pos="993"/>
        </w:tabs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5"/>
        <w:pBdr/>
        <w:tabs>
          <w:tab w:val="left" w:leader="none" w:pos="993"/>
        </w:tabs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Style w:val="690"/>
        <w:tblW w:w="0" w:type="auto"/>
        <w:tblBorders/>
        <w:tblLayout w:type="fixed"/>
        <w:tblLook w:val="04A0" w:firstRow="1" w:lastRow="0" w:firstColumn="1" w:lastColumn="0" w:noHBand="0" w:noVBand="1"/>
      </w:tblPr>
      <w:tblGrid>
        <w:gridCol w:w="4252"/>
        <w:gridCol w:w="5669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52" w:type="dxa"/>
            <w:textDirection w:val="lrTb"/>
            <w:noWrap w:val="false"/>
          </w:tcPr>
          <w:p>
            <w:pPr>
              <w:pStyle w:val="685"/>
              <w:pBdr/>
              <w:tabs>
                <w:tab w:val="left" w:leader="none" w:pos="142"/>
                <w:tab w:val="left" w:leader="none" w:pos="283"/>
                <w:tab w:val="left" w:leader="none" w:pos="567"/>
              </w:tabs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Врио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аместител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85"/>
              <w:pBdr/>
              <w:tabs>
                <w:tab w:val="left" w:leader="none" w:pos="142"/>
                <w:tab w:val="left" w:leader="none" w:pos="283"/>
                <w:tab w:val="left" w:leader="none" w:pos="567"/>
              </w:tabs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Правительства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85"/>
              <w:pBdr/>
              <w:tabs>
                <w:tab w:val="left" w:leader="none" w:pos="142"/>
                <w:tab w:val="left" w:leader="none" w:pos="283"/>
                <w:tab w:val="left" w:leader="none" w:pos="567"/>
              </w:tabs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Республики Дагестан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министра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69" w:type="dxa"/>
            <w:textDirection w:val="lrTb"/>
            <w:noWrap w:val="false"/>
          </w:tcPr>
          <w:p>
            <w:pPr>
              <w:pStyle w:val="685"/>
              <w:pBdr/>
              <w:tabs>
                <w:tab w:val="left" w:leader="none" w:pos="993"/>
              </w:tabs>
              <w:spacing w:line="288" w:lineRule="auto"/>
              <w: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85"/>
              <w:pBdr/>
              <w:tabs>
                <w:tab w:val="left" w:leader="none" w:pos="993"/>
              </w:tabs>
              <w:spacing w:line="288" w:lineRule="auto"/>
              <w:ind/>
              <w:jc w:val="both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  <w:p>
            <w:pPr>
              <w:pStyle w:val="685"/>
              <w:pBdr/>
              <w:tabs>
                <w:tab w:val="left" w:leader="none" w:pos="993"/>
              </w:tabs>
              <w:spacing w:line="288" w:lineRule="auto"/>
              <w:ind/>
              <w:jc w:val="both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З.Э.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Эминов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</w:tr>
    </w:tbl>
    <w:p>
      <w:pPr>
        <w:pStyle w:val="685"/>
        <w:pBdr/>
        <w:tabs>
          <w:tab w:val="left" w:leader="none" w:pos="993"/>
        </w:tabs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5"/>
        <w:pBdr/>
        <w:tabs>
          <w:tab w:val="left" w:leader="none" w:pos="993"/>
        </w:tabs>
        <w:spacing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headerReference w:type="default" r:id="rId9"/>
      <w:footnotePr/>
      <w:endnotePr/>
      <w:type w:val="nextPage"/>
      <w:pgSz w:h="16838" w:orient="landscape" w:w="11906"/>
      <w:pgMar w:top="1134" w:right="851" w:bottom="709" w:left="1134" w:header="568" w:footer="709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052197896"/>
      <w:docPartObj>
        <w:docPartGallery w:val="Page Numbers (Top of Page)"/>
        <w:docPartUnique w:val="true"/>
      </w:docPartObj>
      <w:rPr/>
    </w:sdtPr>
    <w:sdtContent>
      <w:p>
        <w:pPr>
          <w:pStyle w:val="686"/>
          <w:pBdr/>
          <w:spacing/>
          <w:ind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 xml:space="preserve">4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ascii="Times New Roman" w:hAnsi="Times New Roman" w:cs="Times New Roman"/>
            <w:sz w:val="28"/>
            <w:szCs w:val="28"/>
          </w:rPr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1069"/>
      </w:pPr>
      <w:rPr>
        <w:rFonts w:hint="default"/>
      </w:rPr>
      <w:start w:val="1"/>
      <w:suff w:val="space"/>
    </w:lvl>
    <w:lvl w:ilvl="1">
      <w:isLgl w:val="false"/>
      <w:lvlJc w:val="left"/>
      <w:lvlText w:val="%2."/>
      <w:numFmt w:val="lowerLetter"/>
      <w:pPr>
        <w:pBdr/>
        <w:spacing/>
        <w:ind w:hanging="360" w:left="1789"/>
      </w:pPr>
      <w:rPr/>
      <w:start w:val="1"/>
      <w:suff w:val="space"/>
    </w:lvl>
    <w:lvl w:ilvl="2">
      <w:isLgl w:val="false"/>
      <w:lvlJc w:val="right"/>
      <w:lvlText w:val="%3."/>
      <w:numFmt w:val="lowerRoman"/>
      <w:pPr>
        <w:pBdr/>
        <w:spacing/>
        <w:ind w:hanging="180" w:left="2509"/>
      </w:pPr>
      <w:rPr/>
      <w:start w:val="1"/>
      <w:suff w:val="space"/>
    </w:lvl>
    <w:lvl w:ilvl="3">
      <w:isLgl w:val="false"/>
      <w:lvlJc w:val="left"/>
      <w:lvlText w:val="%4."/>
      <w:numFmt w:val="decimal"/>
      <w:pPr>
        <w:pBdr/>
        <w:spacing/>
        <w:ind w:hanging="360" w:left="3229"/>
      </w:pPr>
      <w:rPr/>
      <w:start w:val="1"/>
      <w:suff w:val="space"/>
    </w:lvl>
    <w:lvl w:ilvl="4">
      <w:isLgl w:val="false"/>
      <w:lvlJc w:val="left"/>
      <w:lvlText w:val="%5."/>
      <w:numFmt w:val="lowerLetter"/>
      <w:pPr>
        <w:pBdr/>
        <w:spacing/>
        <w:ind w:hanging="360" w:left="3949"/>
      </w:pPr>
      <w:rPr/>
      <w:start w:val="1"/>
      <w:suff w:val="space"/>
    </w:lvl>
    <w:lvl w:ilvl="5">
      <w:isLgl w:val="false"/>
      <w:lvlJc w:val="right"/>
      <w:lvlText w:val="%6."/>
      <w:numFmt w:val="lowerRoman"/>
      <w:pPr>
        <w:pBdr/>
        <w:spacing/>
        <w:ind w:hanging="180" w:left="4669"/>
      </w:pPr>
      <w:rPr/>
      <w:start w:val="1"/>
      <w:suff w:val="space"/>
    </w:lvl>
    <w:lvl w:ilvl="6">
      <w:isLgl w:val="false"/>
      <w:lvlJc w:val="left"/>
      <w:lvlText w:val="%7."/>
      <w:numFmt w:val="decimal"/>
      <w:pPr>
        <w:pBdr/>
        <w:spacing/>
        <w:ind w:hanging="360" w:left="5389"/>
      </w:pPr>
      <w:rPr/>
      <w:start w:val="1"/>
      <w:suff w:val="space"/>
    </w:lvl>
    <w:lvl w:ilvl="7">
      <w:isLgl w:val="false"/>
      <w:lvlJc w:val="left"/>
      <w:lvlText w:val="%8."/>
      <w:numFmt w:val="lowerLetter"/>
      <w:pPr>
        <w:pBdr/>
        <w:spacing/>
        <w:ind w:hanging="360" w:left="6109"/>
      </w:pPr>
      <w:rPr/>
      <w:start w:val="1"/>
      <w:suff w:val="space"/>
    </w:lvl>
    <w:lvl w:ilvl="8">
      <w:isLgl w:val="false"/>
      <w:lvlJc w:val="right"/>
      <w:lvlText w:val="%9."/>
      <w:numFmt w:val="lowerRoman"/>
      <w:pPr>
        <w:pBdr/>
        <w:spacing/>
        <w:ind w:hanging="180" w:left="6829"/>
      </w:pPr>
      <w:rPr/>
      <w:start w:val="1"/>
      <w:suff w:val="space"/>
    </w:lvl>
  </w:abstractNum>
  <w:abstractNum w:abstractNumId="1">
    <w:lvl w:ilvl="0">
      <w:isLgl w:val="false"/>
      <w:lvlJc w:val="left"/>
      <w:lvlText w:val="%1)"/>
      <w:numFmt w:val="lowerLetter"/>
      <w:pPr>
        <w:pBdr/>
        <w:spacing/>
        <w:ind w:hanging="360" w:left="1429"/>
      </w:pPr>
      <w:rPr/>
      <w:start w:val="1"/>
      <w:suff w:val="space"/>
    </w:lvl>
    <w:lvl w:ilvl="1">
      <w:isLgl w:val="false"/>
      <w:lvlJc w:val="left"/>
      <w:lvlText w:val="%2."/>
      <w:numFmt w:val="lowerLetter"/>
      <w:pPr>
        <w:pBdr/>
        <w:spacing/>
        <w:ind w:hanging="360" w:left="2149"/>
      </w:pPr>
      <w:rPr/>
      <w:start w:val="1"/>
      <w:suff w:val="space"/>
    </w:lvl>
    <w:lvl w:ilvl="2">
      <w:isLgl w:val="false"/>
      <w:lvlJc w:val="right"/>
      <w:lvlText w:val="%3."/>
      <w:numFmt w:val="lowerRoman"/>
      <w:pPr>
        <w:pBdr/>
        <w:spacing/>
        <w:ind w:hanging="180" w:left="2869"/>
      </w:pPr>
      <w:rPr/>
      <w:start w:val="1"/>
      <w:suff w:val="space"/>
    </w:lvl>
    <w:lvl w:ilvl="3">
      <w:isLgl w:val="false"/>
      <w:lvlJc w:val="left"/>
      <w:lvlText w:val="%4."/>
      <w:numFmt w:val="decimal"/>
      <w:pPr>
        <w:pBdr/>
        <w:spacing/>
        <w:ind w:hanging="360" w:left="3589"/>
      </w:pPr>
      <w:rPr/>
      <w:start w:val="1"/>
      <w:suff w:val="space"/>
    </w:lvl>
    <w:lvl w:ilvl="4">
      <w:isLgl w:val="false"/>
      <w:lvlJc w:val="left"/>
      <w:lvlText w:val="%5."/>
      <w:numFmt w:val="lowerLetter"/>
      <w:pPr>
        <w:pBdr/>
        <w:spacing/>
        <w:ind w:hanging="360" w:left="4309"/>
      </w:pPr>
      <w:rPr/>
      <w:start w:val="1"/>
      <w:suff w:val="space"/>
    </w:lvl>
    <w:lvl w:ilvl="5">
      <w:isLgl w:val="false"/>
      <w:lvlJc w:val="right"/>
      <w:lvlText w:val="%6."/>
      <w:numFmt w:val="lowerRoman"/>
      <w:pPr>
        <w:pBdr/>
        <w:spacing/>
        <w:ind w:hanging="180" w:left="5029"/>
      </w:pPr>
      <w:rPr/>
      <w:start w:val="1"/>
      <w:suff w:val="space"/>
    </w:lvl>
    <w:lvl w:ilvl="6">
      <w:isLgl w:val="false"/>
      <w:lvlJc w:val="left"/>
      <w:lvlText w:val="%7."/>
      <w:numFmt w:val="decimal"/>
      <w:pPr>
        <w:pBdr/>
        <w:spacing/>
        <w:ind w:hanging="360" w:left="5749"/>
      </w:pPr>
      <w:rPr/>
      <w:start w:val="1"/>
      <w:suff w:val="space"/>
    </w:lvl>
    <w:lvl w:ilvl="7">
      <w:isLgl w:val="false"/>
      <w:lvlJc w:val="left"/>
      <w:lvlText w:val="%8."/>
      <w:numFmt w:val="lowerLetter"/>
      <w:pPr>
        <w:pBdr/>
        <w:spacing/>
        <w:ind w:hanging="360" w:left="6469"/>
      </w:pPr>
      <w:rPr/>
      <w:start w:val="1"/>
      <w:suff w:val="space"/>
    </w:lvl>
    <w:lvl w:ilvl="8">
      <w:isLgl w:val="false"/>
      <w:lvlJc w:val="right"/>
      <w:lvlText w:val="%9."/>
      <w:numFmt w:val="lowerRoman"/>
      <w:pPr>
        <w:pBdr/>
        <w:spacing/>
        <w:ind w:hanging="180" w:left="7189"/>
      </w:pPr>
      <w:rPr/>
      <w:start w:val="1"/>
      <w:suff w:val="space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1429"/>
      </w:pPr>
      <w:rPr/>
      <w:start w:val="1"/>
      <w:suff w:val="space"/>
    </w:lvl>
    <w:lvl w:ilvl="1">
      <w:isLgl w:val="false"/>
      <w:lvlJc w:val="left"/>
      <w:lvlText w:val="%2."/>
      <w:numFmt w:val="lowerLetter"/>
      <w:pPr>
        <w:pBdr/>
        <w:spacing/>
        <w:ind w:hanging="360" w:left="2149"/>
      </w:pPr>
      <w:rPr/>
      <w:start w:val="1"/>
      <w:suff w:val="space"/>
    </w:lvl>
    <w:lvl w:ilvl="2">
      <w:isLgl w:val="false"/>
      <w:lvlJc w:val="right"/>
      <w:lvlText w:val="%3."/>
      <w:numFmt w:val="lowerRoman"/>
      <w:pPr>
        <w:pBdr/>
        <w:spacing/>
        <w:ind w:hanging="180" w:left="2869"/>
      </w:pPr>
      <w:rPr/>
      <w:start w:val="1"/>
      <w:suff w:val="space"/>
    </w:lvl>
    <w:lvl w:ilvl="3">
      <w:isLgl w:val="false"/>
      <w:lvlJc w:val="left"/>
      <w:lvlText w:val="%4."/>
      <w:numFmt w:val="decimal"/>
      <w:pPr>
        <w:pBdr/>
        <w:spacing/>
        <w:ind w:hanging="360" w:left="3589"/>
      </w:pPr>
      <w:rPr/>
      <w:start w:val="1"/>
      <w:suff w:val="space"/>
    </w:lvl>
    <w:lvl w:ilvl="4">
      <w:isLgl w:val="false"/>
      <w:lvlJc w:val="left"/>
      <w:lvlText w:val="%5."/>
      <w:numFmt w:val="lowerLetter"/>
      <w:pPr>
        <w:pBdr/>
        <w:spacing/>
        <w:ind w:hanging="360" w:left="4309"/>
      </w:pPr>
      <w:rPr/>
      <w:start w:val="1"/>
      <w:suff w:val="space"/>
    </w:lvl>
    <w:lvl w:ilvl="5">
      <w:isLgl w:val="false"/>
      <w:lvlJc w:val="right"/>
      <w:lvlText w:val="%6."/>
      <w:numFmt w:val="lowerRoman"/>
      <w:pPr>
        <w:pBdr/>
        <w:spacing/>
        <w:ind w:hanging="180" w:left="5029"/>
      </w:pPr>
      <w:rPr/>
      <w:start w:val="1"/>
      <w:suff w:val="space"/>
    </w:lvl>
    <w:lvl w:ilvl="6">
      <w:isLgl w:val="false"/>
      <w:lvlJc w:val="left"/>
      <w:lvlText w:val="%7."/>
      <w:numFmt w:val="decimal"/>
      <w:pPr>
        <w:pBdr/>
        <w:spacing/>
        <w:ind w:hanging="360" w:left="5749"/>
      </w:pPr>
      <w:rPr/>
      <w:start w:val="1"/>
      <w:suff w:val="space"/>
    </w:lvl>
    <w:lvl w:ilvl="7">
      <w:isLgl w:val="false"/>
      <w:lvlJc w:val="left"/>
      <w:lvlText w:val="%8."/>
      <w:numFmt w:val="lowerLetter"/>
      <w:pPr>
        <w:pBdr/>
        <w:spacing/>
        <w:ind w:hanging="360" w:left="6469"/>
      </w:pPr>
      <w:rPr/>
      <w:start w:val="1"/>
      <w:suff w:val="space"/>
    </w:lvl>
    <w:lvl w:ilvl="8">
      <w:isLgl w:val="false"/>
      <w:lvlJc w:val="right"/>
      <w:lvlText w:val="%9."/>
      <w:numFmt w:val="lowerRoman"/>
      <w:pPr>
        <w:pBdr/>
        <w:spacing/>
        <w:ind w:hanging="180" w:left="7189"/>
      </w:pPr>
      <w:rPr/>
      <w:start w:val="1"/>
      <w:suff w:val="space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435" w:left="1143"/>
      </w:pPr>
      <w:rPr>
        <w:rFonts w:hint="default"/>
      </w:rPr>
      <w:start w:val="1"/>
      <w:suff w:val="space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space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space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space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space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space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space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space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space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81"/>
    <w:next w:val="681"/>
    <w:link w:val="14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82"/>
    <w:link w:val="13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15">
    <w:name w:val="Heading 2"/>
    <w:basedOn w:val="681"/>
    <w:next w:val="681"/>
    <w:link w:val="1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82"/>
    <w:link w:val="15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17">
    <w:name w:val="Heading 3"/>
    <w:basedOn w:val="681"/>
    <w:next w:val="681"/>
    <w:link w:val="1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82"/>
    <w:link w:val="17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19">
    <w:name w:val="Heading 4"/>
    <w:basedOn w:val="681"/>
    <w:next w:val="681"/>
    <w:link w:val="2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82"/>
    <w:link w:val="19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81"/>
    <w:next w:val="681"/>
    <w:link w:val="2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82"/>
    <w:link w:val="2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81"/>
    <w:next w:val="681"/>
    <w:link w:val="2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82"/>
    <w:link w:val="2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81"/>
    <w:next w:val="681"/>
    <w:link w:val="2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82"/>
    <w:link w:val="2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81"/>
    <w:next w:val="681"/>
    <w:link w:val="2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82"/>
    <w:link w:val="2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81"/>
    <w:next w:val="681"/>
    <w:link w:val="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82"/>
    <w:link w:val="29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81"/>
    <w:uiPriority w:val="34"/>
    <w:qFormat/>
    <w:pPr>
      <w:pBdr/>
      <w:spacing/>
      <w:ind w:left="720"/>
      <w:contextualSpacing w:val="true"/>
    </w:pPr>
  </w:style>
  <w:style w:type="paragraph" w:styleId="34">
    <w:name w:val="Title"/>
    <w:basedOn w:val="681"/>
    <w:next w:val="681"/>
    <w:link w:val="3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35">
    <w:name w:val="Title Char"/>
    <w:basedOn w:val="682"/>
    <w:link w:val="34"/>
    <w:uiPriority w:val="10"/>
    <w:pPr>
      <w:pBdr/>
      <w:spacing/>
      <w:ind/>
    </w:pPr>
    <w:rPr>
      <w:sz w:val="48"/>
      <w:szCs w:val="48"/>
    </w:rPr>
  </w:style>
  <w:style w:type="paragraph" w:styleId="36">
    <w:name w:val="Subtitle"/>
    <w:basedOn w:val="681"/>
    <w:next w:val="681"/>
    <w:link w:val="3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37">
    <w:name w:val="Subtitle Char"/>
    <w:basedOn w:val="682"/>
    <w:link w:val="36"/>
    <w:uiPriority w:val="11"/>
    <w:pPr>
      <w:pBdr/>
      <w:spacing/>
      <w:ind/>
    </w:pPr>
    <w:rPr>
      <w:sz w:val="24"/>
      <w:szCs w:val="24"/>
    </w:rPr>
  </w:style>
  <w:style w:type="paragraph" w:styleId="38">
    <w:name w:val="Quote"/>
    <w:basedOn w:val="681"/>
    <w:next w:val="681"/>
    <w:link w:val="39"/>
    <w:uiPriority w:val="29"/>
    <w:qFormat/>
    <w:pPr>
      <w:pBdr/>
      <w:spacing/>
      <w:ind w:right="720" w:left="720"/>
    </w:pPr>
    <w:rPr>
      <w:i/>
    </w:rPr>
  </w:style>
  <w:style w:type="character" w:styleId="39">
    <w:name w:val="Quote Char"/>
    <w:link w:val="38"/>
    <w:uiPriority w:val="29"/>
    <w:pPr>
      <w:pBdr/>
      <w:spacing/>
      <w:ind/>
    </w:pPr>
    <w:rPr>
      <w:i/>
    </w:rPr>
  </w:style>
  <w:style w:type="paragraph" w:styleId="40">
    <w:name w:val="Intense Quote"/>
    <w:basedOn w:val="681"/>
    <w:next w:val="681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41">
    <w:name w:val="Intense Quote Char"/>
    <w:link w:val="40"/>
    <w:uiPriority w:val="30"/>
    <w:pPr>
      <w:pBdr/>
      <w:spacing/>
      <w:ind/>
    </w:pPr>
    <w:rPr>
      <w:i/>
    </w:rPr>
  </w:style>
  <w:style w:type="character" w:styleId="43">
    <w:name w:val="Header Char"/>
    <w:basedOn w:val="682"/>
    <w:link w:val="686"/>
    <w:uiPriority w:val="99"/>
    <w:pPr>
      <w:pBdr/>
      <w:spacing/>
      <w:ind/>
    </w:pPr>
  </w:style>
  <w:style w:type="character" w:styleId="45">
    <w:name w:val="Footer Char"/>
    <w:basedOn w:val="682"/>
    <w:link w:val="688"/>
    <w:uiPriority w:val="99"/>
    <w:pPr>
      <w:pBdr/>
      <w:spacing/>
      <w:ind/>
    </w:pPr>
  </w:style>
  <w:style w:type="paragraph" w:styleId="46">
    <w:name w:val="Caption"/>
    <w:basedOn w:val="681"/>
    <w:next w:val="681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688"/>
    <w:uiPriority w:val="99"/>
    <w:pPr>
      <w:pBdr/>
      <w:spacing/>
      <w:ind/>
    </w:pPr>
  </w:style>
  <w:style w:type="table" w:styleId="49">
    <w:name w:val="Table Grid Light"/>
    <w:basedOn w:val="68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68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68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68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68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68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68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68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68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68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6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6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6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6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6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6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6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6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6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6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6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6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6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6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75">
    <w:name w:val="footnote text"/>
    <w:basedOn w:val="681"/>
    <w:link w:val="1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76">
    <w:name w:val="Footnote Text Char"/>
    <w:link w:val="175"/>
    <w:uiPriority w:val="99"/>
    <w:pPr>
      <w:pBdr/>
      <w:spacing/>
      <w:ind/>
    </w:pPr>
    <w:rPr>
      <w:sz w:val="18"/>
    </w:rPr>
  </w:style>
  <w:style w:type="character" w:styleId="177">
    <w:name w:val="footnote reference"/>
    <w:basedOn w:val="682"/>
    <w:uiPriority w:val="99"/>
    <w:unhideWhenUsed/>
    <w:pPr>
      <w:pBdr/>
      <w:spacing/>
      <w:ind/>
    </w:pPr>
    <w:rPr>
      <w:vertAlign w:val="superscript"/>
    </w:rPr>
  </w:style>
  <w:style w:type="paragraph" w:styleId="178">
    <w:name w:val="endnote text"/>
    <w:basedOn w:val="681"/>
    <w:link w:val="1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682"/>
    <w:uiPriority w:val="99"/>
    <w:semiHidden/>
    <w:unhideWhenUsed/>
    <w:pPr>
      <w:pBdr/>
      <w:spacing/>
      <w:ind/>
    </w:pPr>
    <w:rPr>
      <w:vertAlign w:val="superscript"/>
    </w:rPr>
  </w:style>
  <w:style w:type="paragraph" w:styleId="181">
    <w:name w:val="toc 1"/>
    <w:basedOn w:val="681"/>
    <w:next w:val="681"/>
    <w:uiPriority w:val="39"/>
    <w:unhideWhenUsed/>
    <w:pPr>
      <w:pBdr/>
      <w:spacing w:after="57"/>
      <w:ind w:right="0" w:firstLine="0" w:left="0"/>
    </w:pPr>
  </w:style>
  <w:style w:type="paragraph" w:styleId="182">
    <w:name w:val="toc 2"/>
    <w:basedOn w:val="681"/>
    <w:next w:val="681"/>
    <w:uiPriority w:val="39"/>
    <w:unhideWhenUsed/>
    <w:pPr>
      <w:pBdr/>
      <w:spacing w:after="57"/>
      <w:ind w:right="0" w:firstLine="0" w:left="283"/>
    </w:pPr>
  </w:style>
  <w:style w:type="paragraph" w:styleId="183">
    <w:name w:val="toc 3"/>
    <w:basedOn w:val="681"/>
    <w:next w:val="681"/>
    <w:uiPriority w:val="39"/>
    <w:unhideWhenUsed/>
    <w:pPr>
      <w:pBdr/>
      <w:spacing w:after="57"/>
      <w:ind w:right="0" w:firstLine="0" w:left="567"/>
    </w:pPr>
  </w:style>
  <w:style w:type="paragraph" w:styleId="184">
    <w:name w:val="toc 4"/>
    <w:basedOn w:val="681"/>
    <w:next w:val="681"/>
    <w:uiPriority w:val="39"/>
    <w:unhideWhenUsed/>
    <w:pPr>
      <w:pBdr/>
      <w:spacing w:after="57"/>
      <w:ind w:right="0" w:firstLine="0" w:left="850"/>
    </w:pPr>
  </w:style>
  <w:style w:type="paragraph" w:styleId="185">
    <w:name w:val="toc 5"/>
    <w:basedOn w:val="681"/>
    <w:next w:val="681"/>
    <w:uiPriority w:val="39"/>
    <w:unhideWhenUsed/>
    <w:pPr>
      <w:pBdr/>
      <w:spacing w:after="57"/>
      <w:ind w:right="0" w:firstLine="0" w:left="1134"/>
    </w:pPr>
  </w:style>
  <w:style w:type="paragraph" w:styleId="186">
    <w:name w:val="toc 6"/>
    <w:basedOn w:val="681"/>
    <w:next w:val="681"/>
    <w:uiPriority w:val="39"/>
    <w:unhideWhenUsed/>
    <w:pPr>
      <w:pBdr/>
      <w:spacing w:after="57"/>
      <w:ind w:right="0" w:firstLine="0" w:left="1417"/>
    </w:pPr>
  </w:style>
  <w:style w:type="paragraph" w:styleId="187">
    <w:name w:val="toc 7"/>
    <w:basedOn w:val="681"/>
    <w:next w:val="681"/>
    <w:uiPriority w:val="39"/>
    <w:unhideWhenUsed/>
    <w:pPr>
      <w:pBdr/>
      <w:spacing w:after="57"/>
      <w:ind w:right="0" w:firstLine="0" w:left="1701"/>
    </w:pPr>
  </w:style>
  <w:style w:type="paragraph" w:styleId="188">
    <w:name w:val="toc 8"/>
    <w:basedOn w:val="681"/>
    <w:next w:val="681"/>
    <w:uiPriority w:val="39"/>
    <w:unhideWhenUsed/>
    <w:pPr>
      <w:pBdr/>
      <w:spacing w:after="57"/>
      <w:ind w:right="0" w:firstLine="0" w:left="1984"/>
    </w:pPr>
  </w:style>
  <w:style w:type="paragraph" w:styleId="189">
    <w:name w:val="toc 9"/>
    <w:basedOn w:val="681"/>
    <w:next w:val="681"/>
    <w:uiPriority w:val="39"/>
    <w:unhideWhenUsed/>
    <w:pPr>
      <w:pBdr/>
      <w:spacing w:after="57"/>
      <w:ind w:right="0" w:firstLine="0" w:left="2268"/>
    </w:pPr>
  </w:style>
  <w:style w:type="paragraph" w:styleId="190">
    <w:name w:val="TOC Heading"/>
    <w:uiPriority w:val="39"/>
    <w:unhideWhenUsed/>
    <w:pPr>
      <w:pBdr/>
      <w:spacing/>
      <w:ind/>
    </w:pPr>
  </w:style>
  <w:style w:type="paragraph" w:styleId="191">
    <w:name w:val="table of figures"/>
    <w:basedOn w:val="681"/>
    <w:next w:val="681"/>
    <w:uiPriority w:val="99"/>
    <w:unhideWhenUsed/>
    <w:pPr>
      <w:pBdr/>
      <w:spacing w:after="0" w:afterAutospacing="0"/>
      <w:ind/>
    </w:pPr>
  </w:style>
  <w:style w:type="paragraph" w:styleId="681" w:default="1">
    <w:name w:val="Normal"/>
    <w:qFormat/>
    <w:pPr>
      <w:pBdr/>
      <w:spacing w:after="0" w:line="360" w:lineRule="auto"/>
      <w:ind w:firstLine="567"/>
      <w:jc w:val="both"/>
    </w:pPr>
    <w:rPr>
      <w:rFonts w:ascii="Times New Roman" w:hAnsi="Times New Roman" w:eastAsia="Times New Roman" w:cs="Times New Roman"/>
      <w:sz w:val="26"/>
      <w:szCs w:val="24"/>
      <w:lang w:eastAsia="ru-RU"/>
    </w:rPr>
  </w:style>
  <w:style w:type="character" w:styleId="682" w:default="1">
    <w:name w:val="Default Paragraph Font"/>
    <w:uiPriority w:val="1"/>
    <w:semiHidden/>
    <w:unhideWhenUsed/>
    <w:pPr>
      <w:pBdr/>
      <w:spacing/>
      <w:ind/>
    </w:pPr>
  </w:style>
  <w:style w:type="table" w:styleId="683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84" w:default="1">
    <w:name w:val="No List"/>
    <w:uiPriority w:val="99"/>
    <w:semiHidden/>
    <w:unhideWhenUsed/>
    <w:pPr>
      <w:pBdr/>
      <w:spacing/>
      <w:ind/>
    </w:pPr>
  </w:style>
  <w:style w:type="paragraph" w:styleId="685">
    <w:name w:val="No Spacing"/>
    <w:uiPriority w:val="1"/>
    <w:qFormat/>
    <w:pPr>
      <w:pBdr/>
      <w:spacing w:after="0" w:line="240" w:lineRule="auto"/>
      <w:ind/>
    </w:pPr>
  </w:style>
  <w:style w:type="paragraph" w:styleId="686">
    <w:name w:val="Header"/>
    <w:basedOn w:val="681"/>
    <w:link w:val="687"/>
    <w:uiPriority w:val="99"/>
    <w:unhideWhenUsed/>
    <w:pPr>
      <w:pBdr/>
      <w:tabs>
        <w:tab w:val="center" w:leader="none" w:pos="4677"/>
        <w:tab w:val="right" w:leader="none" w:pos="9355"/>
      </w:tabs>
      <w:spacing w:line="240" w:lineRule="auto"/>
      <w:ind w:firstLine="0"/>
      <w:jc w:val="left"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character" w:styleId="687" w:customStyle="1">
    <w:name w:val="Верхний колонтитул Знак"/>
    <w:basedOn w:val="682"/>
    <w:link w:val="686"/>
    <w:uiPriority w:val="99"/>
    <w:pPr>
      <w:pBdr/>
      <w:spacing/>
      <w:ind/>
    </w:pPr>
  </w:style>
  <w:style w:type="paragraph" w:styleId="688">
    <w:name w:val="Footer"/>
    <w:basedOn w:val="681"/>
    <w:link w:val="689"/>
    <w:uiPriority w:val="99"/>
    <w:unhideWhenUsed/>
    <w:pPr>
      <w:pBdr/>
      <w:tabs>
        <w:tab w:val="center" w:leader="none" w:pos="4677"/>
        <w:tab w:val="right" w:leader="none" w:pos="9355"/>
      </w:tabs>
      <w:spacing w:line="240" w:lineRule="auto"/>
      <w:ind w:firstLine="0"/>
      <w:jc w:val="left"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character" w:styleId="689" w:customStyle="1">
    <w:name w:val="Нижний колонтитул Знак"/>
    <w:basedOn w:val="682"/>
    <w:link w:val="688"/>
    <w:uiPriority w:val="99"/>
    <w:pPr>
      <w:pBdr/>
      <w:spacing/>
      <w:ind/>
    </w:pPr>
  </w:style>
  <w:style w:type="table" w:styleId="690">
    <w:name w:val="Table Grid"/>
    <w:basedOn w:val="683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691">
    <w:name w:val="Balloon Text"/>
    <w:basedOn w:val="681"/>
    <w:link w:val="692"/>
    <w:uiPriority w:val="99"/>
    <w:semiHidden/>
    <w:unhideWhenUsed/>
    <w:pPr>
      <w:pBdr/>
      <w:spacing w:line="240" w:lineRule="auto"/>
      <w:ind/>
    </w:pPr>
    <w:rPr>
      <w:rFonts w:ascii="Tahoma" w:hAnsi="Tahoma" w:cs="Tahoma"/>
      <w:sz w:val="16"/>
      <w:szCs w:val="16"/>
    </w:rPr>
  </w:style>
  <w:style w:type="character" w:styleId="692" w:customStyle="1">
    <w:name w:val="Текст выноски Знак"/>
    <w:basedOn w:val="682"/>
    <w:link w:val="691"/>
    <w:uiPriority w:val="99"/>
    <w:semiHidden/>
    <w:pPr>
      <w:pBdr/>
      <w:spacing/>
      <w:ind/>
    </w:pPr>
    <w:rPr>
      <w:rFonts w:ascii="Tahoma" w:hAnsi="Tahoma" w:eastAsia="Times New Roman" w:cs="Tahoma"/>
      <w:sz w:val="16"/>
      <w:szCs w:val="16"/>
      <w:lang w:eastAsia="ru-RU"/>
    </w:rPr>
  </w:style>
  <w:style w:type="paragraph" w:styleId="693">
    <w:name w:val="Body Text"/>
    <w:basedOn w:val="681"/>
    <w:link w:val="695"/>
    <w:unhideWhenUsed/>
    <w:pPr>
      <w:widowControl w:val="false"/>
      <w:pBdr/>
      <w:shd w:val="clear" w:color="auto" w:fill="ffffff"/>
      <w:spacing w:before="240" w:line="307" w:lineRule="exact"/>
      <w:ind w:firstLine="720"/>
    </w:pPr>
    <w:rPr>
      <w:sz w:val="25"/>
      <w:szCs w:val="25"/>
    </w:rPr>
  </w:style>
  <w:style w:type="character" w:styleId="694" w:customStyle="1">
    <w:name w:val="Основной текст Знак"/>
    <w:basedOn w:val="682"/>
    <w:uiPriority w:val="99"/>
    <w:semiHidden/>
    <w:pPr>
      <w:pBdr/>
      <w:spacing/>
      <w:ind/>
    </w:pPr>
    <w:rPr>
      <w:rFonts w:ascii="Times New Roman" w:hAnsi="Times New Roman" w:eastAsia="Times New Roman" w:cs="Times New Roman"/>
      <w:sz w:val="26"/>
      <w:szCs w:val="24"/>
      <w:lang w:eastAsia="ru-RU"/>
    </w:rPr>
  </w:style>
  <w:style w:type="character" w:styleId="695" w:customStyle="1">
    <w:name w:val="Основной текст Знак1"/>
    <w:basedOn w:val="682"/>
    <w:link w:val="693"/>
    <w:pPr>
      <w:pBdr/>
      <w:spacing/>
      <w:ind/>
    </w:pPr>
    <w:rPr>
      <w:rFonts w:ascii="Times New Roman" w:hAnsi="Times New Roman" w:eastAsia="Times New Roman" w:cs="Times New Roman"/>
      <w:sz w:val="25"/>
      <w:szCs w:val="25"/>
      <w:shd w:val="clear" w:color="auto" w:fill="ffffff"/>
      <w:lang w:eastAsia="ru-RU"/>
    </w:rPr>
  </w:style>
  <w:style w:type="character" w:styleId="696">
    <w:name w:val="Hyperlink"/>
    <w:basedOn w:val="682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697">
    <w:name w:val="Body Text Indent 3"/>
    <w:basedOn w:val="681"/>
    <w:link w:val="698"/>
    <w:uiPriority w:val="99"/>
    <w:semiHidden/>
    <w:unhideWhenUsed/>
    <w:pPr>
      <w:pBdr/>
      <w:spacing w:after="120"/>
      <w:ind w:left="283"/>
    </w:pPr>
    <w:rPr>
      <w:sz w:val="16"/>
      <w:szCs w:val="16"/>
    </w:rPr>
  </w:style>
  <w:style w:type="character" w:styleId="698" w:customStyle="1">
    <w:name w:val="Основной текст с отступом 3 Знак"/>
    <w:basedOn w:val="682"/>
    <w:link w:val="697"/>
    <w:uiPriority w:val="99"/>
    <w:semiHidden/>
    <w:pPr>
      <w:pBdr/>
      <w:spacing/>
      <w:ind/>
    </w:pPr>
    <w:rPr>
      <w:rFonts w:ascii="Times New Roman" w:hAnsi="Times New Roman" w:eastAsia="Times New Roman" w:cs="Times New Roman"/>
      <w:sz w:val="16"/>
      <w:szCs w:val="16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hyperlink" Target="http://www.pravo.gov.ru" TargetMode="External"/><Relationship Id="rId12" Type="http://schemas.openxmlformats.org/officeDocument/2006/relationships/hyperlink" Target="http://www.pravo.e-dag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0600E-0EBE-4124-81F2-5303883CE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ONLYOFFICE/7.5.0.127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ministr1</dc:creator>
  <cp:keywords/>
  <dc:description/>
  <cp:revision>7</cp:revision>
  <dcterms:created xsi:type="dcterms:W3CDTF">2026-08-06T09:27:00Z</dcterms:created>
  <dcterms:modified xsi:type="dcterms:W3CDTF">2026-08-12T13:47:14Z</dcterms:modified>
</cp:coreProperties>
</file>