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19" w:rsidRDefault="008608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5919" w:rsidRDefault="00860857">
      <w:pPr>
        <w:pStyle w:val="af7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аукциона</w:t>
      </w:r>
    </w:p>
    <w:p w:rsidR="004A5919" w:rsidRDefault="00860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4A5919" w:rsidRDefault="00860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находящегося в собственности Республики Дагестан.</w:t>
      </w:r>
    </w:p>
    <w:p w:rsidR="004A5919" w:rsidRDefault="004A59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919" w:rsidRDefault="00860857">
      <w:pPr>
        <w:pStyle w:val="af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 аукциона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 (далее – Минимущество Дагестана).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Республика Дагестан, г. Махачкала, ул. Буйнакского, д. 5.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estate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.ru. Тел. 8 (8772) 67-62-60.</w:t>
      </w:r>
    </w:p>
    <w:p w:rsidR="004A5919" w:rsidRDefault="00860857">
      <w:pPr>
        <w:pStyle w:val="af7"/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торгов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аукцион на право заключения договора аренды земельного участка в электронной форме (далее аукцион) для сельскохозяйственного производства.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приема заявок – 14 сентября 2026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заявок –12 октября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 23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:59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рассмотрения заявок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 октября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время проведения – 16 октября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2026 года в 10:00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московскому времени.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hyperlink r:id="rId8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сайте электронной площадки </w:t>
      </w:r>
      <w:hyperlink r:id="rId9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Торги проводятся в форме электронного аукциона на электронной торговой площадке, находящейся в сети интернет по адресу </w:t>
      </w:r>
      <w:hyperlink r:id="rId10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</w:t>
        </w:r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919" w:rsidRDefault="00860857">
      <w:pPr>
        <w:pStyle w:val="af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аукциона:</w:t>
      </w:r>
    </w:p>
    <w:p w:rsidR="004A5919" w:rsidRDefault="00860857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Лот № 1.</w:t>
      </w:r>
    </w:p>
    <w:p w:rsidR="004A5919" w:rsidRDefault="00860857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площадью 4 558 911 кв. м, кадастровый номер 05:03:000001:327, категория земель: земли сельскохозяйственного назначения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видом разрешенного использования: для сельскохозяйственного производства, местонахождение: Республика Дагестан, Ногайский район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 № 1. </w:t>
      </w:r>
    </w:p>
    <w:p w:rsidR="004A5919" w:rsidRDefault="00860857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Начальная цена: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601 468 (Шестьсот одна тысяча четыреста шестьдесят восемь) рубля 53 копейки (1,5 % кадастровой стои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мости земельного участка). </w:t>
      </w:r>
    </w:p>
    <w:p w:rsidR="004A5919" w:rsidRDefault="00860857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Сумма задатка: </w:t>
      </w:r>
      <w:r w:rsidR="00E526AC">
        <w:rPr>
          <w:rFonts w:ascii="Times New Roman" w:eastAsia="Times New Roman" w:hAnsi="Times New Roman" w:cs="Times New Roman"/>
          <w:sz w:val="28"/>
          <w:szCs w:val="28"/>
          <w:lang w:eastAsia="ru-RU"/>
        </w:rPr>
        <w:t>601 468 (Шестьсот одна тысяча четыреста шестьдесят восемь) рубл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bookmarkStart w:id="0" w:name="_GoBack"/>
      <w:bookmarkEnd w:id="0"/>
      <w:r w:rsidR="00E5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 копейки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919" w:rsidRDefault="00860857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Шаг аукциона: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18 044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(Восемнадцать тысяч сорок четыре) рубля 06 копеек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(3 % от начальной цены предмета аукциона).</w:t>
      </w:r>
    </w:p>
    <w:p w:rsidR="004A5919" w:rsidRDefault="00860857">
      <w:pPr>
        <w:pStyle w:val="af7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Обременения и ограничения в ис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пользовании: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163"/>
        <w:gridCol w:w="1213"/>
        <w:gridCol w:w="6535"/>
      </w:tblGrid>
      <w:tr w:rsidR="004A5919">
        <w:tc>
          <w:tcPr>
            <w:tcW w:w="2163" w:type="dxa"/>
          </w:tcPr>
          <w:p w:rsidR="004A5919" w:rsidRDefault="00860857">
            <w:pPr>
              <w:spacing w:after="200" w:line="24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Учетный номер части</w:t>
            </w:r>
          </w:p>
        </w:tc>
        <w:tc>
          <w:tcPr>
            <w:tcW w:w="1213" w:type="dxa"/>
          </w:tcPr>
          <w:p w:rsidR="004A5919" w:rsidRDefault="00860857">
            <w:pPr>
              <w:spacing w:after="200" w:line="24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Площадь, м2</w:t>
            </w:r>
          </w:p>
        </w:tc>
        <w:tc>
          <w:tcPr>
            <w:tcW w:w="6545" w:type="dxa"/>
          </w:tcPr>
          <w:p w:rsidR="004A5919" w:rsidRDefault="00860857">
            <w:pPr>
              <w:spacing w:after="200" w:line="24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ограничения в использовании или ограничения права на объект недвижимости или обременения объекта недвижимости</w:t>
            </w:r>
          </w:p>
        </w:tc>
      </w:tr>
      <w:tr w:rsidR="004A5919">
        <w:tc>
          <w:tcPr>
            <w:tcW w:w="2163" w:type="dxa"/>
          </w:tcPr>
          <w:p w:rsidR="004A5919" w:rsidRDefault="00860857">
            <w:pPr>
              <w:spacing w:after="200" w:line="2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:rsidR="004A5919" w:rsidRDefault="00860857">
            <w:pPr>
              <w:spacing w:after="200" w:line="2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545" w:type="dxa"/>
          </w:tcPr>
          <w:p w:rsidR="004A5919" w:rsidRDefault="00860857">
            <w:pPr>
              <w:spacing w:after="200" w:line="2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4A5919">
        <w:tc>
          <w:tcPr>
            <w:tcW w:w="2163" w:type="dxa"/>
          </w:tcPr>
          <w:p w:rsidR="004A5919" w:rsidRDefault="00860857">
            <w:pPr>
              <w:spacing w:after="200" w:line="24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05:03:000001:327/1</w:t>
            </w:r>
          </w:p>
        </w:tc>
        <w:tc>
          <w:tcPr>
            <w:tcW w:w="1213" w:type="dxa"/>
          </w:tcPr>
          <w:p w:rsidR="004A5919" w:rsidRDefault="00860857">
            <w:pPr>
              <w:spacing w:after="200" w:line="24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545" w:type="dxa"/>
          </w:tcPr>
          <w:p w:rsidR="004A5919" w:rsidRDefault="00860857">
            <w:r>
              <w:t>вид ограничения (обременения): ограничения прав на земельный участок, предусмотренные статьей 56 Земельного кодекса</w:t>
            </w:r>
          </w:p>
          <w:p w:rsidR="004A5919" w:rsidRDefault="00860857">
            <w:r>
              <w:t>Российской Федерации;</w:t>
            </w:r>
          </w:p>
          <w:p w:rsidR="004A5919" w:rsidRDefault="00860857">
            <w:r>
              <w:t>Срок действия: не установлен;</w:t>
            </w:r>
          </w:p>
          <w:p w:rsidR="004A5919" w:rsidRDefault="00860857">
            <w:r>
              <w:t xml:space="preserve">реквизиты документа-основания: об утверждении Правил, установления охранных зон пунктов </w:t>
            </w:r>
            <w:r>
              <w:t>государственной геодезической</w:t>
            </w:r>
          </w:p>
          <w:p w:rsidR="004A5919" w:rsidRDefault="00860857">
            <w:proofErr w:type="spellStart"/>
            <w:proofErr w:type="gramStart"/>
            <w:r>
              <w:t>сети,государственной</w:t>
            </w:r>
            <w:proofErr w:type="spellEnd"/>
            <w:proofErr w:type="gramEnd"/>
            <w:r>
              <w:t xml:space="preserve"> нивелирной сети и государственной гравиметрической сети и признании утратившим силу постановления</w:t>
            </w:r>
          </w:p>
          <w:p w:rsidR="004A5919" w:rsidRDefault="00860857">
            <w:r>
              <w:t>Правительства Российской Федерации 7 октября 1996 г № 1170 от 12.10.2016 № 1037 выдан: Правительство Россий</w:t>
            </w:r>
            <w:r>
              <w:t>ской</w:t>
            </w:r>
          </w:p>
          <w:p w:rsidR="004A5919" w:rsidRDefault="00860857">
            <w:r>
              <w:t>Федерации;</w:t>
            </w:r>
          </w:p>
          <w:p w:rsidR="004A5919" w:rsidRDefault="00860857">
            <w:r>
              <w:t>Содержание ограничения (обременения): Согласно Постановлению Правительства РФ от 12.10.2016 N 1037 "Об утверждении</w:t>
            </w:r>
          </w:p>
          <w:p w:rsidR="004A5919" w:rsidRDefault="00860857">
            <w:r>
              <w:t>Правил установления охранных зон пунктов государственной геодезической сети, государственной нивелирной сети и</w:t>
            </w:r>
          </w:p>
          <w:p w:rsidR="004A5919" w:rsidRDefault="00860857">
            <w:r>
              <w:t>государственно</w:t>
            </w:r>
            <w:r>
              <w:t>й гравиметрической сети и признании утратившим силу постановления Правительства Российской Федерации от</w:t>
            </w:r>
          </w:p>
          <w:p w:rsidR="004A5919" w:rsidRDefault="00860857">
            <w:r>
              <w:t>7 октября 1996 г. N 1170" 7. В пределах границ охранных зон пунктов запрещается без письменного согласования с</w:t>
            </w:r>
          </w:p>
          <w:p w:rsidR="004A5919" w:rsidRDefault="00860857">
            <w:r>
              <w:t>территориальным органом осуществление вид</w:t>
            </w:r>
            <w:r>
              <w:t>ов деятельности и проведение работ, которые могут повлечь повреждение или</w:t>
            </w:r>
          </w:p>
          <w:p w:rsidR="004A5919" w:rsidRDefault="00860857">
            <w:r>
              <w:t>уничтожение наружных знаков пунктов, нарушить неизменность местоположения специальных центров пунктов или создать</w:t>
            </w:r>
          </w:p>
          <w:p w:rsidR="004A5919" w:rsidRDefault="00860857">
            <w:r>
              <w:t>затруднения для использования пунктов по прямому назначению и свобод</w:t>
            </w:r>
            <w:r>
              <w:t>ного доступа к ним, а именно: а) убирать,</w:t>
            </w:r>
          </w:p>
          <w:p w:rsidR="004A5919" w:rsidRDefault="00860857">
            <w:r>
              <w:t>перемещать, засыпать или повреждать составные части пунктов; б) проводить работы, размещать объекты и предметы,</w:t>
            </w:r>
          </w:p>
          <w:p w:rsidR="004A5919" w:rsidRDefault="00860857">
            <w:r>
              <w:t>возводить сооружения и конструкции, которые могут препятствовать доступу к пунктам без создания необхо</w:t>
            </w:r>
            <w:r>
              <w:t>димых для такого</w:t>
            </w:r>
          </w:p>
          <w:p w:rsidR="004A5919" w:rsidRDefault="00860857">
            <w:r>
              <w:t>доступа проходов и подъездов; в) осуществлять горные, взрывные, строительные, земляные (мелиоративные) и иные работы,</w:t>
            </w:r>
          </w:p>
          <w:p w:rsidR="004A5919" w:rsidRDefault="00860857">
            <w:r>
              <w:t>которые могут привести к повреждению или уничтожению пунктов; г) проводить работы, не обеспечивающие сохранность</w:t>
            </w:r>
          </w:p>
          <w:p w:rsidR="004A5919" w:rsidRDefault="00860857">
            <w:r>
              <w:t>пунктов.</w:t>
            </w:r>
            <w:r>
              <w:t xml:space="preserve"> 8. Без согласования с территориальным органом запрещается проведение следующих работ: а) снос объектов</w:t>
            </w:r>
          </w:p>
          <w:p w:rsidR="004A5919" w:rsidRDefault="00860857">
            <w:r>
              <w:t>капитального строительства, на конструктивных элементах или в подвале которых размещены пункты; б) капитальный ремонт</w:t>
            </w:r>
          </w:p>
          <w:p w:rsidR="004A5919" w:rsidRDefault="00860857">
            <w:r>
              <w:t>помещений, в которых размещены гра</w:t>
            </w:r>
            <w:r>
              <w:t>виметрические пункты. 9. В случае если при осуществлении видов деятельности и</w:t>
            </w:r>
          </w:p>
          <w:p w:rsidR="004A5919" w:rsidRDefault="00860857">
            <w:r>
              <w:t>проведении работ, указанных в пунктах 7 и 8 настоящих Правил, требуется осуществить ликвидацию (снос) пункта, такая</w:t>
            </w:r>
          </w:p>
          <w:p w:rsidR="004A5919" w:rsidRDefault="00860857">
            <w:r>
              <w:t>ликвидация (снос) пункта осуществляется на основании решения т</w:t>
            </w:r>
            <w:r>
              <w:t>ерриториального органа лицом, выполняющим указанные</w:t>
            </w:r>
          </w:p>
          <w:p w:rsidR="004A5919" w:rsidRDefault="00860857">
            <w:r>
              <w:t>работы, с одновременным созданием нового пункта, аналогичного ликвидируемому. 10. Для подъезда (подхода) к пунктам и их охранным зонам могут дополнительно устанавливаться публичные сервитуты в порядке, пр</w:t>
            </w:r>
            <w:r>
              <w:t>едусмотренном земельным</w:t>
            </w:r>
          </w:p>
          <w:p w:rsidR="004A5919" w:rsidRDefault="00860857">
            <w:r>
              <w:t>законодательством. Собственники земельных участков, землевладельцы, землепользователи, арендаторы земельных участков,</w:t>
            </w:r>
          </w:p>
          <w:p w:rsidR="004A5919" w:rsidRDefault="00860857">
            <w:r>
              <w:t>обладатели сервитута и правообладатели земельных участков, на которых установлена охранная зона пункта, обязаны</w:t>
            </w:r>
          </w:p>
          <w:p w:rsidR="004A5919" w:rsidRDefault="00860857">
            <w:r>
              <w:t>об</w:t>
            </w:r>
            <w:r>
              <w:t>еспечить возможность подъезда (подхода) заинтересованных лиц к указанным пунктам при выполнении геодезических и</w:t>
            </w:r>
          </w:p>
          <w:p w:rsidR="004A5919" w:rsidRDefault="00860857">
            <w:r>
              <w:t>картографических работ, а также при проведении ремонта и восстановления указанных пунктов. 11. В пределах границ</w:t>
            </w:r>
          </w:p>
          <w:p w:rsidR="004A5919" w:rsidRDefault="00860857">
            <w:r>
              <w:t>охранных зон пунктов независимо от формы собственности земельных участков, на которых такие охранные зоны пунктов</w:t>
            </w:r>
          </w:p>
          <w:p w:rsidR="004A5919" w:rsidRDefault="00860857">
            <w:r>
              <w:t>установлены, разрешено осуществлять геодезические работы без согласования с собственниками и иными правообладателями</w:t>
            </w:r>
          </w:p>
          <w:p w:rsidR="004A5919" w:rsidRDefault="00860857">
            <w:r>
              <w:t>указанных земельных участ</w:t>
            </w:r>
            <w:r>
              <w:t>ков. Геодезические работы с использованием гравиметрических пунктов, размещенных в подвалах</w:t>
            </w:r>
          </w:p>
          <w:p w:rsidR="004A5919" w:rsidRDefault="00860857">
            <w:r>
              <w:lastRenderedPageBreak/>
              <w:t>зданий (сооружений), проводятся после направления уведомления о проведении таких работ посредством почтового</w:t>
            </w:r>
          </w:p>
          <w:p w:rsidR="004A5919" w:rsidRDefault="00860857">
            <w:r>
              <w:t>отправления с уведомлением о вручении собственникам или</w:t>
            </w:r>
            <w:r>
              <w:t xml:space="preserve"> иным правообладателям указанных зданий (сооружений) не позднее</w:t>
            </w:r>
          </w:p>
          <w:p w:rsidR="004A5919" w:rsidRDefault="00860857">
            <w:r>
              <w:t>10 дней до дня начала проведения указанных работ.;</w:t>
            </w:r>
          </w:p>
          <w:p w:rsidR="004A5919" w:rsidRDefault="00860857">
            <w:r>
              <w:t>Реестровый номер границы: 05.03.2.150</w:t>
            </w:r>
          </w:p>
        </w:tc>
      </w:tr>
    </w:tbl>
    <w:p w:rsidR="004A5919" w:rsidRDefault="004A591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Решение органа, уполномоченного на принятие правового акта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проведении аукциона: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Приказ (Распоряжение) Министерства по земельным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br/>
        <w:t xml:space="preserve">и имущественным отношениям Республики Дагестан от 9 сентября 2026 года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br/>
        <w:t>№ 502-р.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Срок действия договора аренды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7 лет.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 земельных участков претендентом осуществляется самостоят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ельно. С иными сведениями, в том числе формой заявки об участии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торгах, планом земельного участка претенденты могут ознакомиться по адресу: Республика Дагестан, г. Махачкала, ул. Буйнакского, 5, каб. 2-6, на официальном сайте Министерства по земельным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имущественным отношениям Республики Дагестан </w:t>
      </w:r>
      <w:hyperlink r:id="rId11" w:tooltip="http://estate-rd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http://estate-rd.ru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(раздел «Пресс-центр», «Информация»), на официальном сайте Российской Федерации </w:t>
      </w:r>
      <w:hyperlink r:id="rId12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электронной площадке </w:t>
      </w:r>
      <w:hyperlink r:id="rId13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Форма заявки на участие в аукционе, требования к составу заявки на участие в аукционе 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порядок ее приема, срок и порядок регистрации на электронной площадке: 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доступа к участию в аукционе в электронной форме претендентам необходимо пройти процедуру аккредитации и регистрации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регламентом электронной торговой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«Агентство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государственному заказу Республики Татарстан» – sale.zakazrf.ru. Регламент электронной площадки, а также инструкции по работе с электронной площадкой размещены на сайте оператора площадки sale.zakazrf.ru.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процедура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в качестве Претендента необходимо иметь регистрацию (аккредитацию) на электронной площадке и действующий Лицевой счёт.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процедуры аккредитации и регистрации участнику аукциона необходимо получить усиленную квалифицированную электронную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в аккредитованном удостоверяющем центре.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на электронной площадке претендентов 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электронной форме аукциона осуществляется ежедневно, круглосуточно, c даты начала приема заявок, но не позднее даты и времени окончания подачи (при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ема) заявок.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электронной площадке осуществляется без взимания платы.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зарегистрированные на электронной площадке или регистрации которых,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электронной площадке была ими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екращена.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участия в аукционе претенденты (лично или через своего представителя) одновременно с заявкой на участие в аукционе представляют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установленный в извещении о проведении аукциона срок, электронные образы следующих документов (документы на бумажном носителе, преобразованные в электронно-цифровую форму путем сканирования с сохранением их реквизитов), заверенных электронной подписью: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на участие в аукционе по установленной в извещении о проведении аукциона форме (Приложение № 1 к Извещению), с указанием банковских реквизитов счета для возврата задатка (сохранение отсканированного документа одним файлом);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ающие внесение задатка.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 для участия в электронном аукционе вносится заявителем путем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нности. В случае, если доверенность на осуществление действий от имени Претендента подписана лицом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Заявитель подает заявку на учас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тие в аукционе на сайте электронной площадки </w:t>
      </w:r>
      <w:hyperlink r:id="rId14" w:tooltip="http://sale.zakazrf.ru/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>
        <w:rPr>
          <w:rStyle w:val="af5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установленные в извещении срок начала и окончания приема заявок. Заявки направляются Заявителями в автоматизированно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системой Оператора в форме электронных документов, подписанных с помощью электронной подписи.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претендент имеет права подать только одну заявку на участие в аукционе.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аукциона не вправе подать предложение о цене предмета аукциона в случае, е</w:t>
      </w:r>
      <w:r>
        <w:rPr>
          <w:rFonts w:ascii="Times New Roman" w:hAnsi="Times New Roman" w:cs="Times New Roman"/>
          <w:sz w:val="28"/>
          <w:szCs w:val="28"/>
        </w:rPr>
        <w:t>сли текущее максимальное предложение о цене предмета аукциона подано таким участником аукциона.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перечислению задатка для участия в торгах и порядок возврата задатка размещена в разделе «Документы» см. «Инструкция участника».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ВНИМАНИЕ! При под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аче заявки на участие в аукционе у участника на виртуальном счете должна иметься дополнительная сумма, в размере 6 000 (Шесть тысяч) руб. 00 коп. (комиссия площадки).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 основании Приказа АО «Агентство по государственному заказу Республики Татарстан» от 30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.03.2020 № 11 - с 1 мая 2020 года при подаче заявок на участие в аукционах будет дополнительно блокироваться сумма, в размере 6000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(шесть тысяч) руб. 00 коп. (комиссия площадки). Позднее у победителя электронного аукциона, будет списана комиссия площадки.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Претендентам, перечислившим задаток для участия в аукционе, денежные средства возвращаются в следующем порядке: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Участникам аукциона, за исключением победителя, участвовавшим в аукционе, но не победившим в нем. В течение трех рабочих дней со дня подписани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протокола о результатах аукциона;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Претендентам, не допущенным к участию в аукционе, внесенные им задатки возвращаются в течение трех рабочих дней со дня оформления протокола приема заявок на участие в аукционе.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 аукциона в течение трех дне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задатки;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Поступивший от претендента задаток подлежит возврату в течение трех рабочих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подписания протокола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стником, возвращается ему в течение трех дней со дня подписания договора аренды земельного участка победителем аукциона.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в электронной форме проводится в день и время, указанные в извещении о проведении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укциона, путем последовательного повышения участниками начальной цены предмета аукциона на величину равную либо кратную величине «шага аукциона». «Шаг аукциона» устанавливается Арендодателем в фиксированной сумме и не изменяется в течение всего аукциона.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аукциона признается участник, предло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живший наибольшую цену за предмет аукциона.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признается несостоявшимся в следующих случаях: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было подано ни одной заявки на участие либо ни один из претендентов не признан участником;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принято решение о признании только одного претендента участником;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 один из участников не сделал предложение о начальной цене имущества.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электронного аукциона не допускается заключение договора аренды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участка, находящегося в государственной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ультатах электронного аукциона на официальном сайте.</w:t>
      </w:r>
    </w:p>
    <w:p w:rsidR="004A5919" w:rsidRDefault="00860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обязан в течение пяти дней со дня истечения срока, предусмотренного пунктом 11 ст. 39.13 Земельного кодекса Российской Федерации, направить победителю электронного аукциона или иным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находящегося в государственной собственности, подписанный проект договора аренды земельного учас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тка, находящегося в государственной собственности, (Приложение № 2 к Извещению) такого участка.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ектронной подписью сторонами такого договора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Российской Федерации </w:t>
      </w:r>
      <w:hyperlink r:id="rId15" w:tooltip="http://www.torgi.gov.ru" w:history="1">
        <w:r>
          <w:rPr>
            <w:rStyle w:val="af5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проведения электронного аукциона подписывается усиленной квалифициров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 для размещения на официальном сайте.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Задаток, внесенный победителем аукциона, не заключившим в установленном порядке договор аренды земельного участка вследствие уклонения от заключения договора, не возвращается.</w:t>
      </w:r>
    </w:p>
    <w:p w:rsidR="004A5919" w:rsidRDefault="00860857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победителях ау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 или 20 статьи 39.12 Земельного кодекса Российской Федерации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уклонились от их заключения, включаются в реестр недобросовестных участников аукциона.</w:t>
      </w:r>
    </w:p>
    <w:sectPr w:rsidR="004A5919">
      <w:headerReference w:type="default" r:id="rId16"/>
      <w:pgSz w:w="11906" w:h="16838"/>
      <w:pgMar w:top="1134" w:right="851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919" w:rsidRDefault="00860857">
      <w:pPr>
        <w:spacing w:after="0" w:line="240" w:lineRule="auto"/>
      </w:pPr>
      <w:r>
        <w:separator/>
      </w:r>
    </w:p>
  </w:endnote>
  <w:endnote w:type="continuationSeparator" w:id="0">
    <w:p w:rsidR="004A5919" w:rsidRDefault="00860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919" w:rsidRDefault="00860857">
      <w:pPr>
        <w:spacing w:after="0" w:line="240" w:lineRule="auto"/>
      </w:pPr>
      <w:r>
        <w:separator/>
      </w:r>
    </w:p>
  </w:footnote>
  <w:footnote w:type="continuationSeparator" w:id="0">
    <w:p w:rsidR="004A5919" w:rsidRDefault="00860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50754"/>
      <w:docPartObj>
        <w:docPartGallery w:val="Page Numbers (Top of Page)"/>
        <w:docPartUnique/>
      </w:docPartObj>
    </w:sdtPr>
    <w:sdtEndPr/>
    <w:sdtContent>
      <w:p w:rsidR="004A5919" w:rsidRDefault="00860857">
        <w:pPr>
          <w:pStyle w:val="af9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5919" w:rsidRDefault="004A5919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48A"/>
    <w:multiLevelType w:val="multilevel"/>
    <w:tmpl w:val="3E6E5E9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817ADE"/>
    <w:multiLevelType w:val="multilevel"/>
    <w:tmpl w:val="38907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5689C"/>
    <w:multiLevelType w:val="multilevel"/>
    <w:tmpl w:val="318E9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7F48"/>
    <w:multiLevelType w:val="multilevel"/>
    <w:tmpl w:val="8D2A2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C3F44"/>
    <w:multiLevelType w:val="multilevel"/>
    <w:tmpl w:val="BB543EEA"/>
    <w:lvl w:ilvl="0">
      <w:start w:val="1"/>
      <w:numFmt w:val="decimal"/>
      <w:lvlText w:val="%1."/>
      <w:lvlJc w:val="left"/>
      <w:pPr>
        <w:ind w:left="899" w:hanging="360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7556473A"/>
    <w:multiLevelType w:val="multilevel"/>
    <w:tmpl w:val="1812D832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19"/>
    <w:rsid w:val="004A5919"/>
    <w:rsid w:val="00860857"/>
    <w:rsid w:val="00E5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7B83"/>
  <w15:docId w15:val="{B1A44280-50DC-45EE-8195-14B63DC0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4">
    <w:name w:val="Subtitle"/>
    <w:basedOn w:val="a"/>
    <w:next w:val="a"/>
    <w:link w:val="a5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5">
    <w:name w:val="Подзаголовок Знак"/>
    <w:basedOn w:val="a0"/>
    <w:link w:val="a4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6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7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</w:style>
  <w:style w:type="paragraph" w:styleId="33">
    <w:name w:val="Body Text Indent 3"/>
    <w:basedOn w:val="a"/>
    <w:link w:val="34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zul">
    <w:name w:val="rezul"/>
    <w:basedOn w:val="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Calibri" w:hAnsi="Courier New" w:cs="Courier New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f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">
    <w:name w:val="Нет списка1"/>
    <w:next w:val="a2"/>
    <w:uiPriority w:val="99"/>
    <w:semiHidden/>
    <w:unhideWhenUsed/>
  </w:style>
  <w:style w:type="paragraph" w:customStyle="1" w:styleId="15">
    <w:name w:val="Текст сноски1"/>
    <w:basedOn w:val="a"/>
    <w:next w:val="aff0"/>
    <w:link w:val="aff1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15"/>
    <w:uiPriority w:val="99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Title"/>
    <w:basedOn w:val="a"/>
    <w:link w:val="aff4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ff4">
    <w:name w:val="Заголовок Знак"/>
    <w:basedOn w:val="a0"/>
    <w:link w:val="aff3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table" w:customStyle="1" w:styleId="35">
    <w:name w:val="Сетка таблицы3"/>
    <w:basedOn w:val="a1"/>
    <w:next w:val="aff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f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footnote text"/>
    <w:basedOn w:val="a"/>
    <w:link w:val="1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f0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sale.zakazrf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tate-r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sale.zakaz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le.zakazrf.ru/" TargetMode="External"/><Relationship Id="rId1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31CAB-B7F3-4647-8220-F28FB8D2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2620</Words>
  <Characters>14936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</cp:lastModifiedBy>
  <cp:revision>53</cp:revision>
  <dcterms:created xsi:type="dcterms:W3CDTF">2024-06-25T12:11:00Z</dcterms:created>
  <dcterms:modified xsi:type="dcterms:W3CDTF">2026-09-09T12:07:00Z</dcterms:modified>
</cp:coreProperties>
</file>