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355"/>
        <w:gridCol w:w="2694"/>
        <w:gridCol w:w="1665"/>
      </w:tblGrid>
      <w:tr w:rsidR="00231470" w:rsidRPr="001C49B9" w:rsidTr="001C49B9">
        <w:tc>
          <w:tcPr>
            <w:tcW w:w="846" w:type="dxa"/>
            <w:shd w:val="clear" w:color="auto" w:fill="auto"/>
            <w:vAlign w:val="center"/>
          </w:tcPr>
          <w:p w:rsidR="00231470" w:rsidRPr="001C49B9" w:rsidRDefault="00231470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31470" w:rsidRPr="001C49B9" w:rsidRDefault="00231470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1470" w:rsidRPr="001C49B9" w:rsidRDefault="00231470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231470" w:rsidRPr="001C49B9" w:rsidRDefault="00231470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0D54B5" w:rsidRPr="001C49B9" w:rsidTr="001C49B9">
        <w:trPr>
          <w:trHeight w:val="410"/>
        </w:trPr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Министерство образования и науки Республики Дагестан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«Детский оздоровительный лагерь «Планета»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образовательное учреждение «Детский оздоровительно-образовательный лагерь «Каспий»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Государственное бюджетное образовательное учреждение «Республиканский детский оздоровительно-образовательный центр круглогодичного действия»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«Общеобразовательная школа интернат с. Ботлих»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</w:t>
            </w:r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  образования</w:t>
            </w:r>
            <w:proofErr w:type="gram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«Малая академия наук Республики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«Профессионально-педагогический колледж имени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З.Н.Батырмурзаева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Республики Дагестан «Республиканский центр образования»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Республики Дагестан «Республиканский многопрофильный лицей-интернат для одаренных детей»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образовательное учреждение Республики Дагестан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Караузекский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«Ромашка»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Цунтинского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«Общеобразовательная спортивная школа-интернат «Пять сторон света»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дошкольное образовательное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Индиранский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Ахвахского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«Колледж сферы услуг»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rPr>
          <w:trHeight w:val="78"/>
        </w:trPr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Республики Дагестан «Республиканский лицей-интернат «Центр одаренных детей»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автошкола»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дошкольное образовательное учреждение Республики </w:t>
            </w:r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spellStart"/>
            <w:proofErr w:type="gram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Щедринский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«Родничок»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Тляратинского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«Республиканский детский оздоровительный лагерь «Маяк»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бюджетное</w:t>
            </w:r>
            <w:proofErr w:type="gram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дополнительного  образования Республики Дагестан «Республиканская детско-юношеская спортивная школа»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Республики Дагестан «Вечерняя средняя общеобразовательная школа»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</w:t>
            </w:r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 учреждение</w:t>
            </w:r>
            <w:proofErr w:type="gram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«Сельскохозяйственный колледж им. Ш.И. Шихсаидова»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</w:t>
            </w:r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 учреждение</w:t>
            </w:r>
            <w:proofErr w:type="gram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«Аграрный колледж»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«Детский оздоровительный лагерь «Нефтяник»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rPr>
          <w:trHeight w:val="447"/>
        </w:trPr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«Дагестанское бюро по технической и кадастровой оценке»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«Торговый дом «Дагестан»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rPr>
          <w:trHeight w:val="409"/>
        </w:trPr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Министерство промышленности и энергетики Республики Дагестан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Спецгазстройсервис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«Государственная нефтегазовая компания Республики Дагестан»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«Единый расчетный информационный центр»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Дагинвестресурс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«Юлдуз»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Министерство строительства и жилищно-коммунального хозяйства Республики Дагестан</w:t>
            </w:r>
          </w:p>
        </w:tc>
        <w:tc>
          <w:tcPr>
            <w:tcW w:w="4359" w:type="dxa"/>
            <w:gridSpan w:val="2"/>
            <w:shd w:val="clear" w:color="auto" w:fill="D0CECE" w:themeFill="background2" w:themeFillShade="E6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«Дирекция единого государственного заказчика-застройщика»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«Махачкалинский цементно-помольный производственный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«Дирекция федеральной целевой программы «Юг России» по Республике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 предприятие Республики Дагестан «Дирекция по созданию инфраструктуры строящегося стеклотарного завода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Анжи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-Стекло»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Спецбытстройсервис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5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здравоохранения Республики Дагестан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детский ревматологический санаторий «Ахты»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ортопедо-травмотологический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им. Н.Ц.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Цахаева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«Республиканский детский санаторий «Гуниб»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«Хасавюртовский межрайонный противотуберкулезный диспансер Министерства здравоохранения Республики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«Хасавюртовская центральная районная поликлиника»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«Городская клиническая больница № 1» (представляют сведения и в отношении ГБУ РД "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Сулакская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больница")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«Центральная районная больница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Бежтинского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участка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Цунтинского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Республики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«Сулейман-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Стальская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Тляратинская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центральная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районная больница» (представляют сведения и в отношении ГБУ РД 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Тляратинский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межрайонный туберкулезный санаторий»)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Цунтинская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Чародинская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Рутульская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Хунзахская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Цумадинская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Кизилюртовский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межрайонный противотуберкулезный диспансер Министерства здравоохранения Республики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(представляют сведения и в отношении ГБУ РД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Гидатлинская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 им.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Бугулова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М.Н.»)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Унцукульская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(представляет сведения и в отношении ГБУ </w:t>
            </w: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  «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Республиканская межрайонная многопрофильная больница»)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Курахская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Левашинская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(представить сведения и в отношении ГБУ РД "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Кулецминская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больница"; "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Куппинская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 им.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И.Ш.Исмаилова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", ГБУ РД "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Мекегинская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больница", ГБУ РД "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Хаджалмахинская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больница", ГБУ РД "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Хахитинская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больница", ГБУ РД "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Цудахарская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больница", ГБУ РД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Левашинский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межрайонный диагностический центр</w:t>
            </w: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")   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«Хасавюртовская межрайонная станция скорой медицинской помощи»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Кизилюртовская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межрайонная станция скорой медицинской помощи»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«Дербентская центральная районная поликлиника» (представляют сведения и в </w:t>
            </w: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отношении  ГБУ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 "Дербентский межрайонный диагностический центр")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«Республиканская станция переливания крови» (представляют сведения и в отношении ГБУ РД «Буйнакская станция переливания крови» и ГБУ РД "Хасавюртовская станция переливания крови")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Докузпаринская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Дахадаевская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Гунибская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центральная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Гумбетовская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Гергебильская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(представляют сведения и в отношении ГБУ РД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Кикунинская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больница")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«Республиканская клиническая больница-центр специализированной экстренной медицинской помощи» (ГБУ Республики Дагестан "Республиканская клиническая больница скорой медицинской помощи)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«Ботлихская центральная районная больница им. З.Ш. Магомаевой» (представить сведения и в отношении ГБУ РД "Межрайонной больницы с.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Тлох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«Дагестанский центр медицины катастроф» (представить сведения и в отношении ГБУ РД «Автобаза Министерства здравоохранения Республики Дагестан»)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Бабаюртовская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(представить сведения в отношении ГБУ РД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Джурмутская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Тляратинского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зоны отгонного животноводства в с.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Туршунай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и ГБУ РД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Хамаматюртовская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участковая больница")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«Детский центр восстановительной медицины и реабилитации»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«Республиканский урологический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Республики Дагестан «Республиканский центр охраны нервно-психологического здоровья детей и подростков»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«Республиканский кожно-венерологический диспансер»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Кизлярский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межрайонный противотуберкулезный диспансер»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центр инфекционных им.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С.М.Магомедова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(представляют сведения и в отношении ГБУ РД «Республиканский центр по профилактике и борьбе со СПИДом Министерства </w:t>
            </w: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здравоохранения  Республики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Дагестан»)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«Буйнакский межрайонный противотуберкулезный </w:t>
            </w: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диспансер  Министерства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здравоохранения  Республики Дагестан»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«Республиканский медицинский центр» (ГБУ РД "Республиканская клиническая № 2)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перинатальный центр - Мама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(представить и в </w:t>
            </w: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отношении  «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медико-генетический центр Министерства здравоохранения Республики Дагестан»)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«Республиканская детская больница восстановительного лечения»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«Республиканский центр реабилитации Министерства здравоохранения Республики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Белиджинская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участковая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«Детская поликлиника № 3»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«Поликлиника № 4»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«Поликлиника № 7»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12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«Поликлиника № 8»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автономное учреждение «Аптечное управление Министерства здравоохранения Республики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Кайтагская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Кахибская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межрайонная туберкулезная больница им. Магомедова Г.П.»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Каякентская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центральная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Кизилюртовская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центральная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Республики Дагестан «Республиканская психиатрическая больница г. Буйнакска»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здравоохранения «Махачкалинский родильный дом № 1» (представляют сведения в отношении ГБУ РД "Женская консультация № 1", ГБУ РД "Женская консультация № 2, ГБУ РД "Женская консультация № 3")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«Каспийская центральная городская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«Республиканский наркологический диспансер Министерства здравоохранения Республики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13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«Хасавюртовская центральная городская больница им. Р.П.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Аскерханова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(представить и в отношении ГБУ РД «Республиканская межрайонный центр реабилитации и восстановительной медицины г. Хасавюрт»)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Кизилюртовская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городская больница» (представляет сведения и в отношении ГБУ </w:t>
            </w: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  «</w:t>
            </w:r>
            <w:proofErr w:type="spellStart"/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Кизилюртовская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стоматологическая поликлиника»)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«Агульская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Ахтынская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(представить сведения и в отношении ГБУ РД "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Ахтынская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туберкулезная больница")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Ахвахская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центральная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районная 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центральная районная больница» (представляют сведения и в отношении ГБУ РД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туберкулезная больница»)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Кизлярская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центральная городская  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«Буйнакская    центральная районная   поликлиника» (представляют сведения и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вотношении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ГБУ РД «Буйнакский межрайонный диагностический центр»)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«Центральная городская больница городского округа «город Дагестанские Огни»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Казбековская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«Научно-клиническое объединение «Дагестанский центр грудной хирургии»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«Дагестанский базовый медицинский колледж им.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Р.П.Аскерханова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Казенное предприятие Республики Дагестан «Объединение котельного хозяйства объектов здравоохранения»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Казенное предприятие Республики Дагестан «Дирекция по инвестиционным программам капитального строительства и ремонта объектов здравоохранения»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4359" w:type="dxa"/>
            <w:gridSpan w:val="2"/>
            <w:shd w:val="clear" w:color="auto" w:fill="D0CECE" w:themeFill="background2" w:themeFillShade="E6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казенное учреждение Республики Дагестан «Межрегиональное специализированное научно-производственное объединение </w:t>
            </w: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Дагестанберегозащита</w:t>
            </w:r>
            <w:proofErr w:type="spellEnd"/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«Дирекция природного парка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Ицари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унитарное предприятие Республики </w:t>
            </w: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Дагестан  «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государственного экологического контроля, мониторинга и управления окружающей среды Республики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Министерство юстиции Республики Дагестан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Министерство по туризму и народным промыслам Республики Дагестан</w:t>
            </w:r>
          </w:p>
        </w:tc>
        <w:tc>
          <w:tcPr>
            <w:tcW w:w="4359" w:type="dxa"/>
            <w:gridSpan w:val="2"/>
            <w:shd w:val="clear" w:color="auto" w:fill="D0CECE" w:themeFill="background2" w:themeFillShade="E6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Кабирская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ковровая фабрика»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социальной защиты населения в муниципальном образовании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Бежтинский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Цунтинского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 социальной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 социальной</w:t>
            </w:r>
            <w:proofErr w:type="gram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Унцукульский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Бежтинский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 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Цунтинского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«город Избербаш»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Республики Дагестан «Социально-реабилитационный центр для несовершеннолетних в муниципальном образовании «город Махачкала»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«Республиканский реабилитационный центр «Надежда»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«Дом- интернат для умственно отсталых детей «Забота»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Цумадинский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«город Хасавюрт»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Республики Дагестан «Научно исследовательский, проектно-технологический институт виноградарства, садоводства и мелиорации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Агропроект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«Республиканское управление отгонного животноводства»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Усемикентский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Гергинский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«Каспий»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Утамышский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«Буйнакский»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Дылымское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Манаскентское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Шамхалхлебопродукт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Кумторкалинский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Муцалаульский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«Кировский»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19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«Чкаловский»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Башлыкентский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Дагсельхозтехника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«им. Карла Маркса»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Тидибский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«Комсомольское»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Селекционно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-Племенной Центр «</w:t>
            </w:r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Дагестанский»   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Зирани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Республиканское государственное унитарное предприятие «Новая жизнь» Ногайский район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20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«Мелиоратор»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«Дагестанский межрегиональный оптовый продовольственный рынок»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«Центральный ипподром «Дагестанский»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«Совхоз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Гоцатлинский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Магарамкентский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спиртзавод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Дагагроснаб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«Буйнакская база МТС»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«Аксу»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«Имени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Гамидова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«ДАГСЕЛЬХОЗСТРОЙ»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«им.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Сардарова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Хасавюртовское МРПО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Сельхозхимия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Государственное унитарное предприятие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Дагсельхозхимия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«Аксай»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«Табасаранское»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«им. 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Ханум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21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Курахское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Кайтагское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Избербашское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Тарумовское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«Заводская конюшня «Дагестанская» с племенным конным заводом»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Новонадеждинская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районное</w:t>
            </w:r>
            <w:proofErr w:type="gram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Гергебильское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районное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Докузпаринское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районное</w:t>
            </w:r>
            <w:proofErr w:type="gram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</w:t>
            </w:r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gram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Дербентское ветеринарное управление отгонного животноводства»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26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Уланхольское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ветеринарное управление отгонного животноводства»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«Хасавюртовская зональная ветеринарная лаборатория»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транспорта и дорожного хозяйства Республики Дагестан</w:t>
            </w:r>
          </w:p>
        </w:tc>
        <w:tc>
          <w:tcPr>
            <w:tcW w:w="4359" w:type="dxa"/>
            <w:gridSpan w:val="2"/>
            <w:shd w:val="clear" w:color="auto" w:fill="D0CECE" w:themeFill="background2" w:themeFillShade="E6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«Мостовое ремонтно-строительное управление»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39»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«Хасавюртовское дорожно-эксплуатационное предприятие №37»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«Каспийское Автотранспортное Предприятие»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31»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24»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Кизлярская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автоколонна 1293»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«Авиалинии Дагестана»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«Буйнакское ПАТП»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«Управление автомобильных дорог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Дагестанавтодор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«Ремонтно-строительный участок»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Акушинское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2»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27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«Ботлихское дорожно-эксплуатационное предприятие № 7»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Докузпаринское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14»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21»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Курахское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 эксплуатационное предприятие   № 23»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Тляратинское</w:t>
            </w:r>
            <w:proofErr w:type="spell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</w:t>
            </w:r>
            <w:proofErr w:type="gramStart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 №</w:t>
            </w:r>
            <w:proofErr w:type="gramEnd"/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881012">
        <w:trPr>
          <w:trHeight w:val="445"/>
        </w:trPr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bookmarkStart w:id="0" w:name="_GoBack"/>
            <w:bookmarkEnd w:id="0"/>
            <w:r w:rsidRPr="001C49B9">
              <w:rPr>
                <w:rFonts w:ascii="Times New Roman" w:hAnsi="Times New Roman" w:cs="Times New Roman"/>
                <w:b/>
                <w:sz w:val="24"/>
                <w:szCs w:val="24"/>
              </w:rPr>
              <w:t>ентство по предпринимательству и инвестициям Республики Дагестан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Республики Дагестан «Учебно-производственный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Республики Дагестан «Центр поддержки предпринимательства Республики Дагестан»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«Корпорация развития Дагестана»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rPr>
          <w:trHeight w:val="431"/>
        </w:trPr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архитектуре и градостроительству Республики Дагестан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0D54B5" w:rsidRPr="001C49B9" w:rsidTr="001C49B9">
        <w:trPr>
          <w:trHeight w:val="393"/>
        </w:trPr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Главы и Правительства Республики Дагестан</w:t>
            </w:r>
          </w:p>
        </w:tc>
        <w:tc>
          <w:tcPr>
            <w:tcW w:w="4359" w:type="dxa"/>
            <w:gridSpan w:val="2"/>
            <w:shd w:val="clear" w:color="auto" w:fill="D0CECE" w:themeFill="background2" w:themeFillShade="E6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4B5" w:rsidRPr="001C49B9" w:rsidTr="001C49B9">
        <w:tc>
          <w:tcPr>
            <w:tcW w:w="846" w:type="dxa"/>
            <w:shd w:val="clear" w:color="auto" w:fill="auto"/>
            <w:vAlign w:val="center"/>
          </w:tcPr>
          <w:p w:rsidR="000D54B5" w:rsidRPr="001C49B9" w:rsidRDefault="000D54B5" w:rsidP="001C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Дагестан «Автохозяйство»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28 февраля 2020 г.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D54B5" w:rsidRPr="001C49B9" w:rsidRDefault="000D54B5" w:rsidP="001C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B9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</w:tbl>
    <w:p w:rsidR="00136D83" w:rsidRDefault="00136D83"/>
    <w:sectPr w:rsidR="00136D83" w:rsidSect="00231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15C39"/>
    <w:multiLevelType w:val="hybridMultilevel"/>
    <w:tmpl w:val="6338B55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70"/>
    <w:rsid w:val="000D54B5"/>
    <w:rsid w:val="00136D83"/>
    <w:rsid w:val="001C49B9"/>
    <w:rsid w:val="001F4A56"/>
    <w:rsid w:val="00231470"/>
    <w:rsid w:val="002D240D"/>
    <w:rsid w:val="003749CB"/>
    <w:rsid w:val="00437CD4"/>
    <w:rsid w:val="007862DE"/>
    <w:rsid w:val="007F52B3"/>
    <w:rsid w:val="00881012"/>
    <w:rsid w:val="00942E82"/>
    <w:rsid w:val="00D56120"/>
    <w:rsid w:val="00D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99C96-54E4-4F34-AA1D-A8D1CA1C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4254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10</cp:revision>
  <dcterms:created xsi:type="dcterms:W3CDTF">2020-01-10T15:29:00Z</dcterms:created>
  <dcterms:modified xsi:type="dcterms:W3CDTF">2020-01-13T05:52:00Z</dcterms:modified>
</cp:coreProperties>
</file>